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18C86" w14:textId="77777777" w:rsidR="001F73D2" w:rsidRDefault="00A875D3" w:rsidP="009A5412">
      <w:pPr>
        <w:jc w:val="center"/>
        <w:rPr>
          <w:rFonts w:ascii="Minion Pro" w:hAnsi="Minion Pro"/>
          <w:b/>
          <w:color w:val="0070C0"/>
          <w:sz w:val="36"/>
          <w:szCs w:val="36"/>
        </w:rPr>
      </w:pPr>
      <w:proofErr w:type="spellStart"/>
      <w:r w:rsidRPr="009A5412">
        <w:rPr>
          <w:rFonts w:ascii="Minion Pro" w:hAnsi="Minion Pro"/>
          <w:b/>
          <w:color w:val="0070C0"/>
          <w:sz w:val="36"/>
          <w:szCs w:val="36"/>
        </w:rPr>
        <w:t>Ferrotoxicity</w:t>
      </w:r>
      <w:proofErr w:type="spellEnd"/>
      <w:r w:rsidRPr="009A5412">
        <w:rPr>
          <w:rFonts w:ascii="Minion Pro" w:hAnsi="Minion Pro"/>
          <w:b/>
          <w:color w:val="0070C0"/>
          <w:sz w:val="36"/>
          <w:szCs w:val="36"/>
        </w:rPr>
        <w:t xml:space="preserve"> and its amelioration by endogenous </w:t>
      </w:r>
    </w:p>
    <w:p w14:paraId="30210AA8" w14:textId="0BBB8D8A" w:rsidR="00A875D3" w:rsidRPr="009A5412" w:rsidRDefault="00A875D3" w:rsidP="009A5412">
      <w:pPr>
        <w:jc w:val="center"/>
        <w:rPr>
          <w:rFonts w:ascii="Minion Pro" w:hAnsi="Minion Pro"/>
          <w:b/>
          <w:color w:val="0070C0"/>
          <w:sz w:val="36"/>
          <w:szCs w:val="36"/>
        </w:rPr>
      </w:pPr>
      <w:r w:rsidRPr="009A5412">
        <w:rPr>
          <w:rFonts w:ascii="Minion Pro" w:hAnsi="Minion Pro"/>
          <w:b/>
          <w:color w:val="0070C0"/>
          <w:sz w:val="36"/>
          <w:szCs w:val="36"/>
        </w:rPr>
        <w:t>vitamin D in experimental acute kidney injury</w:t>
      </w:r>
    </w:p>
    <w:p w14:paraId="21FD5331" w14:textId="77777777" w:rsidR="009A5412" w:rsidRDefault="009A5412" w:rsidP="009A5412">
      <w:pPr>
        <w:rPr>
          <w:bCs/>
        </w:rPr>
      </w:pPr>
    </w:p>
    <w:p w14:paraId="32505812" w14:textId="1346E64A" w:rsidR="00A875D3" w:rsidRPr="009A5412" w:rsidRDefault="00A875D3" w:rsidP="009A5412">
      <w:pPr>
        <w:rPr>
          <w:rFonts w:ascii="Arial" w:hAnsi="Arial" w:cs="Arial"/>
          <w:b/>
          <w:sz w:val="18"/>
          <w:szCs w:val="18"/>
          <w:highlight w:val="yellow"/>
        </w:rPr>
      </w:pPr>
      <w:r w:rsidRPr="009A5412">
        <w:rPr>
          <w:rFonts w:ascii="Arial" w:hAnsi="Arial" w:cs="Arial"/>
          <w:bCs/>
          <w:sz w:val="18"/>
          <w:szCs w:val="18"/>
        </w:rPr>
        <w:t xml:space="preserve">Chandrashekar </w:t>
      </w:r>
      <w:proofErr w:type="spellStart"/>
      <w:r w:rsidRPr="009A5412">
        <w:rPr>
          <w:rFonts w:ascii="Arial" w:hAnsi="Arial" w:cs="Arial"/>
          <w:bCs/>
          <w:sz w:val="18"/>
          <w:szCs w:val="18"/>
        </w:rPr>
        <w:t>Annamalai</w:t>
      </w:r>
      <w:r w:rsidRPr="009A5412">
        <w:rPr>
          <w:rFonts w:ascii="Arial" w:hAnsi="Arial" w:cs="Arial"/>
          <w:bCs/>
          <w:sz w:val="18"/>
          <w:szCs w:val="18"/>
          <w:vertAlign w:val="superscript"/>
        </w:rPr>
        <w:t>a</w:t>
      </w:r>
      <w:proofErr w:type="spellEnd"/>
      <w:r w:rsidRPr="009A5412">
        <w:rPr>
          <w:rFonts w:ascii="Arial" w:hAnsi="Arial" w:cs="Arial"/>
          <w:bCs/>
          <w:sz w:val="18"/>
          <w:szCs w:val="18"/>
        </w:rPr>
        <w:t xml:space="preserve">, Rajesh </w:t>
      </w:r>
      <w:proofErr w:type="spellStart"/>
      <w:r w:rsidRPr="009A5412">
        <w:rPr>
          <w:rFonts w:ascii="Arial" w:hAnsi="Arial" w:cs="Arial"/>
          <w:bCs/>
          <w:sz w:val="18"/>
          <w:szCs w:val="18"/>
        </w:rPr>
        <w:t>Nachiappa</w:t>
      </w:r>
      <w:proofErr w:type="spellEnd"/>
      <w:r w:rsidRPr="009A5412">
        <w:rPr>
          <w:rFonts w:ascii="Arial" w:hAnsi="Arial" w:cs="Arial"/>
          <w:bCs/>
          <w:sz w:val="18"/>
          <w:szCs w:val="18"/>
        </w:rPr>
        <w:t xml:space="preserve"> Ganesh</w:t>
      </w:r>
      <w:r w:rsidRPr="009A5412">
        <w:rPr>
          <w:rFonts w:ascii="Arial" w:hAnsi="Arial" w:cs="Arial"/>
          <w:bCs/>
          <w:sz w:val="18"/>
          <w:szCs w:val="18"/>
          <w:vertAlign w:val="superscript"/>
        </w:rPr>
        <w:t>b</w:t>
      </w:r>
      <w:r w:rsidRPr="009A5412">
        <w:rPr>
          <w:rFonts w:ascii="Arial" w:hAnsi="Arial" w:cs="Arial"/>
          <w:bCs/>
          <w:sz w:val="18"/>
          <w:szCs w:val="18"/>
        </w:rPr>
        <w:t xml:space="preserve"> and </w:t>
      </w:r>
      <w:r w:rsidRPr="009A5412">
        <w:rPr>
          <w:rFonts w:ascii="Arial" w:hAnsi="Arial" w:cs="Arial"/>
          <w:b/>
          <w:sz w:val="18"/>
          <w:szCs w:val="18"/>
          <w:u w:val="single"/>
        </w:rPr>
        <w:t xml:space="preserve">Pragasam </w:t>
      </w:r>
      <w:proofErr w:type="spellStart"/>
      <w:r w:rsidRPr="009A5412">
        <w:rPr>
          <w:rFonts w:ascii="Arial" w:hAnsi="Arial" w:cs="Arial"/>
          <w:b/>
          <w:sz w:val="18"/>
          <w:szCs w:val="18"/>
          <w:u w:val="single"/>
        </w:rPr>
        <w:t>Viswanathan</w:t>
      </w:r>
      <w:r w:rsidRPr="009A5412">
        <w:rPr>
          <w:rFonts w:ascii="Arial" w:hAnsi="Arial" w:cs="Arial"/>
          <w:b/>
          <w:sz w:val="18"/>
          <w:szCs w:val="18"/>
          <w:u w:val="single"/>
          <w:vertAlign w:val="superscript"/>
        </w:rPr>
        <w:t>a</w:t>
      </w:r>
      <w:proofErr w:type="spellEnd"/>
    </w:p>
    <w:p w14:paraId="4F4F8161" w14:textId="77777777" w:rsidR="00A875D3" w:rsidRPr="009A5412" w:rsidRDefault="00A875D3" w:rsidP="009A5412">
      <w:pPr>
        <w:rPr>
          <w:rFonts w:ascii="Arial" w:hAnsi="Arial" w:cs="Arial"/>
          <w:bCs/>
          <w:sz w:val="18"/>
          <w:szCs w:val="18"/>
        </w:rPr>
      </w:pPr>
      <w:r w:rsidRPr="009A5412">
        <w:rPr>
          <w:rFonts w:ascii="Arial" w:hAnsi="Arial" w:cs="Arial"/>
          <w:bCs/>
          <w:sz w:val="18"/>
          <w:szCs w:val="18"/>
          <w:vertAlign w:val="superscript"/>
        </w:rPr>
        <w:t>a</w:t>
      </w:r>
      <w:r w:rsidRPr="009A5412">
        <w:rPr>
          <w:rFonts w:ascii="Arial" w:hAnsi="Arial" w:cs="Arial"/>
          <w:bCs/>
          <w:sz w:val="18"/>
          <w:szCs w:val="18"/>
        </w:rPr>
        <w:t>Renal Research Lab, Centre for Biomedical Research, School of Biosciences and Technology, Vellore Institute of Technology (VIT), Vellore - 632 014, Tamil Nadu, India</w:t>
      </w:r>
    </w:p>
    <w:p w14:paraId="38235415" w14:textId="7A244A8B" w:rsidR="00A875D3" w:rsidRPr="009A5412" w:rsidRDefault="00A875D3" w:rsidP="009A5412">
      <w:pPr>
        <w:rPr>
          <w:rFonts w:ascii="Arial" w:hAnsi="Arial" w:cs="Arial"/>
          <w:bCs/>
          <w:sz w:val="18"/>
          <w:szCs w:val="18"/>
        </w:rPr>
      </w:pPr>
      <w:r w:rsidRPr="009A5412">
        <w:rPr>
          <w:rFonts w:ascii="Arial" w:hAnsi="Arial" w:cs="Arial"/>
          <w:bCs/>
          <w:sz w:val="18"/>
          <w:szCs w:val="18"/>
          <w:vertAlign w:val="superscript"/>
        </w:rPr>
        <w:t>b</w:t>
      </w:r>
      <w:r w:rsidRPr="009A5412">
        <w:rPr>
          <w:rFonts w:ascii="Arial" w:hAnsi="Arial" w:cs="Arial"/>
          <w:bCs/>
          <w:sz w:val="18"/>
          <w:szCs w:val="18"/>
        </w:rPr>
        <w:t xml:space="preserve">Department of Pathology, Jawaharlal Institute of Postgraduate Medical Education and Research (JIPMER), </w:t>
      </w:r>
      <w:proofErr w:type="spellStart"/>
      <w:r w:rsidRPr="009A5412">
        <w:rPr>
          <w:rFonts w:ascii="Arial" w:hAnsi="Arial" w:cs="Arial"/>
          <w:bCs/>
          <w:sz w:val="18"/>
          <w:szCs w:val="18"/>
        </w:rPr>
        <w:t>Dhanvantri</w:t>
      </w:r>
      <w:proofErr w:type="spellEnd"/>
      <w:r w:rsidRPr="009A5412">
        <w:rPr>
          <w:rFonts w:ascii="Arial" w:hAnsi="Arial" w:cs="Arial"/>
          <w:bCs/>
          <w:sz w:val="18"/>
          <w:szCs w:val="18"/>
        </w:rPr>
        <w:t xml:space="preserve"> Nagar, Puducherry 605 006, India</w:t>
      </w:r>
    </w:p>
    <w:p w14:paraId="5C37E5E1" w14:textId="77777777" w:rsidR="00A875D3" w:rsidRDefault="00A875D3" w:rsidP="00A875D3">
      <w:pPr>
        <w:spacing w:line="480" w:lineRule="auto"/>
        <w:rPr>
          <w:bCs/>
        </w:rPr>
        <w:sectPr w:rsidR="00A875D3">
          <w:pgSz w:w="11906" w:h="16838"/>
          <w:pgMar w:top="1440" w:right="1440" w:bottom="1440" w:left="1440" w:header="708" w:footer="708" w:gutter="0"/>
          <w:cols w:space="708"/>
          <w:docGrid w:linePitch="360"/>
        </w:sectPr>
      </w:pPr>
    </w:p>
    <w:p w14:paraId="21BEBE7F" w14:textId="77777777" w:rsidR="009A5412" w:rsidRDefault="009A5412" w:rsidP="00A875D3">
      <w:pPr>
        <w:ind w:left="-57"/>
        <w:rPr>
          <w:b/>
          <w:sz w:val="18"/>
          <w:szCs w:val="18"/>
        </w:rPr>
      </w:pPr>
    </w:p>
    <w:p w14:paraId="28B63BE6" w14:textId="77777777" w:rsidR="009A5412" w:rsidRDefault="009A5412" w:rsidP="00A875D3">
      <w:pPr>
        <w:ind w:left="-57"/>
        <w:rPr>
          <w:rFonts w:ascii="Tw Cen MT" w:hAnsi="Tw Cen MT"/>
          <w:b/>
          <w:color w:val="C00000"/>
          <w:sz w:val="18"/>
          <w:szCs w:val="18"/>
        </w:rPr>
      </w:pPr>
    </w:p>
    <w:p w14:paraId="5D4CBF8A" w14:textId="793606F7" w:rsidR="00A875D3" w:rsidRPr="009A5412" w:rsidRDefault="00A875D3" w:rsidP="00A875D3">
      <w:pPr>
        <w:ind w:left="-57"/>
        <w:rPr>
          <w:rFonts w:ascii="Tw Cen MT" w:hAnsi="Tw Cen MT"/>
          <w:b/>
          <w:color w:val="C00000"/>
          <w:sz w:val="18"/>
          <w:szCs w:val="18"/>
        </w:rPr>
      </w:pPr>
      <w:r w:rsidRPr="009A5412">
        <w:rPr>
          <w:rFonts w:ascii="Tw Cen MT" w:hAnsi="Tw Cen MT"/>
          <w:b/>
          <w:color w:val="C00000"/>
          <w:sz w:val="18"/>
          <w:szCs w:val="18"/>
        </w:rPr>
        <w:t xml:space="preserve">Abstract </w:t>
      </w:r>
    </w:p>
    <w:p w14:paraId="3777100A" w14:textId="718E76B8" w:rsidR="00A875D3" w:rsidRPr="009A5412" w:rsidRDefault="00A875D3" w:rsidP="009A5412">
      <w:pPr>
        <w:tabs>
          <w:tab w:val="left" w:pos="2604"/>
        </w:tabs>
        <w:ind w:left="-57"/>
        <w:jc w:val="both"/>
        <w:rPr>
          <w:rFonts w:ascii="Tw Cen MT" w:hAnsi="Tw Cen MT"/>
          <w:sz w:val="18"/>
          <w:szCs w:val="18"/>
        </w:rPr>
      </w:pPr>
      <w:r w:rsidRPr="009A5412">
        <w:rPr>
          <w:rFonts w:ascii="Tw Cen MT" w:hAnsi="Tw Cen MT"/>
          <w:sz w:val="18"/>
          <w:szCs w:val="18"/>
        </w:rPr>
        <w:t xml:space="preserve">Acute kidney injury (AKI) causes significant morbidity and mortality. This experimental animal study investigated the simultaneous impact of iron and vitamin D on AKI induced by </w:t>
      </w:r>
      <w:proofErr w:type="spellStart"/>
      <w:r w:rsidRPr="009A5412">
        <w:rPr>
          <w:rFonts w:ascii="Tw Cen MT" w:hAnsi="Tw Cen MT"/>
          <w:sz w:val="18"/>
          <w:szCs w:val="18"/>
        </w:rPr>
        <w:t>Iohexol</w:t>
      </w:r>
      <w:proofErr w:type="spellEnd"/>
      <w:r w:rsidRPr="009A5412">
        <w:rPr>
          <w:rFonts w:ascii="Tw Cen MT" w:hAnsi="Tw Cen MT"/>
          <w:sz w:val="18"/>
          <w:szCs w:val="18"/>
        </w:rPr>
        <w:t>, an iodinated, non-ionic monomeric radiocontrast agent in Wistar rats.</w:t>
      </w:r>
      <w:r w:rsidRPr="009A5412">
        <w:rPr>
          <w:rFonts w:ascii="Tw Cen MT" w:hAnsi="Tw Cen MT"/>
          <w:b/>
          <w:sz w:val="18"/>
          <w:szCs w:val="18"/>
        </w:rPr>
        <w:t xml:space="preserve">  </w:t>
      </w:r>
      <w:r w:rsidRPr="009A5412">
        <w:rPr>
          <w:rFonts w:ascii="Tw Cen MT" w:hAnsi="Tw Cen MT"/>
          <w:bCs/>
          <w:sz w:val="18"/>
          <w:szCs w:val="18"/>
        </w:rPr>
        <w:t xml:space="preserve">Out of 36 healthy male Wistar rats, saline was injected into six control rats (group 1) and </w:t>
      </w:r>
      <w:proofErr w:type="spellStart"/>
      <w:r w:rsidRPr="009A5412">
        <w:rPr>
          <w:rFonts w:ascii="Tw Cen MT" w:hAnsi="Tw Cen MT"/>
          <w:bCs/>
          <w:sz w:val="18"/>
          <w:szCs w:val="18"/>
        </w:rPr>
        <w:t>Iohexol</w:t>
      </w:r>
      <w:proofErr w:type="spellEnd"/>
      <w:r w:rsidRPr="009A5412">
        <w:rPr>
          <w:rFonts w:ascii="Tw Cen MT" w:hAnsi="Tw Cen MT"/>
          <w:bCs/>
          <w:sz w:val="18"/>
          <w:szCs w:val="18"/>
        </w:rPr>
        <w:t xml:space="preserve"> into the remaining 30 experimental rats (groups 2 to 6 comprising six rats each). </w:t>
      </w:r>
      <w:r w:rsidRPr="009A5412">
        <w:rPr>
          <w:rFonts w:ascii="Tw Cen MT" w:hAnsi="Tw Cen MT"/>
          <w:sz w:val="18"/>
          <w:szCs w:val="18"/>
        </w:rPr>
        <w:t xml:space="preserve">Biochemical, renal histological changes and gene expression of iron-regulating proteins and 1 </w:t>
      </w:r>
      <w:r w:rsidRPr="009A5412">
        <w:rPr>
          <w:rFonts w:ascii="Calibri" w:hAnsi="Calibri" w:cs="Calibri"/>
          <w:sz w:val="18"/>
          <w:szCs w:val="18"/>
        </w:rPr>
        <w:t>α</w:t>
      </w:r>
      <w:r w:rsidRPr="009A5412">
        <w:rPr>
          <w:rFonts w:ascii="Tw Cen MT" w:hAnsi="Tw Cen MT"/>
          <w:sz w:val="18"/>
          <w:szCs w:val="18"/>
        </w:rPr>
        <w:t>-hydroxylase were analyzed.</w:t>
      </w:r>
      <w:r w:rsidRPr="009A5412">
        <w:rPr>
          <w:rFonts w:ascii="Tw Cen MT" w:hAnsi="Tw Cen MT"/>
          <w:bCs/>
          <w:sz w:val="18"/>
          <w:szCs w:val="18"/>
        </w:rPr>
        <w:t xml:space="preserve"> Urinary neutrophil gelatinase-associated lipocalin (NGAL), serum creatinine, urine protein, serum </w:t>
      </w:r>
      <w:r w:rsidRPr="009A5412">
        <w:rPr>
          <w:rFonts w:ascii="Tw Cen MT" w:hAnsi="Tw Cen MT"/>
          <w:sz w:val="18"/>
          <w:szCs w:val="18"/>
        </w:rPr>
        <w:t>and urine catalytic iron, 25-hydroxyvitamin D3, 1,25-dihydroxyvitamin D3 and tissue lipid peroxidation were assayed.</w:t>
      </w:r>
      <w:r w:rsidRPr="009A5412">
        <w:rPr>
          <w:rFonts w:ascii="Tw Cen MT" w:hAnsi="Tw Cen MT"/>
          <w:b/>
          <w:sz w:val="18"/>
          <w:szCs w:val="18"/>
        </w:rPr>
        <w:t xml:space="preserve">  </w:t>
      </w:r>
      <w:r w:rsidRPr="009A5412">
        <w:rPr>
          <w:rFonts w:ascii="Tw Cen MT" w:hAnsi="Tw Cen MT"/>
          <w:sz w:val="18"/>
          <w:szCs w:val="18"/>
        </w:rPr>
        <w:t xml:space="preserve">Rats injected with </w:t>
      </w:r>
      <w:proofErr w:type="spellStart"/>
      <w:r w:rsidRPr="009A5412">
        <w:rPr>
          <w:rFonts w:ascii="Tw Cen MT" w:hAnsi="Tw Cen MT"/>
          <w:sz w:val="18"/>
          <w:szCs w:val="18"/>
        </w:rPr>
        <w:t>iohexol</w:t>
      </w:r>
      <w:proofErr w:type="spellEnd"/>
      <w:r w:rsidRPr="009A5412">
        <w:rPr>
          <w:rFonts w:ascii="Tw Cen MT" w:hAnsi="Tw Cen MT"/>
          <w:sz w:val="18"/>
          <w:szCs w:val="18"/>
        </w:rPr>
        <w:t xml:space="preserve"> showed elevated urinary NGAL (11.94±6.79 ng/mL), serum creatinine (2.92±0.91 mg/dL) and urinary protein levels (11.03±9.68 mg/mg creatinine) together with histological evidence of tubular injury and iron accumulation. Gene expression of iron-regulating proteins and 1 </w:t>
      </w:r>
      <w:r w:rsidRPr="009A5412">
        <w:rPr>
          <w:rFonts w:ascii="Calibri" w:hAnsi="Calibri" w:cs="Calibri"/>
          <w:sz w:val="18"/>
          <w:szCs w:val="18"/>
        </w:rPr>
        <w:t>α</w:t>
      </w:r>
      <w:r w:rsidRPr="009A5412">
        <w:rPr>
          <w:rFonts w:ascii="Tw Cen MT" w:hAnsi="Tw Cen MT"/>
          <w:sz w:val="18"/>
          <w:szCs w:val="18"/>
        </w:rPr>
        <w:t>-hydroxylase was altered. Serum and urine catalytic iron levels were elevated (0.57</w:t>
      </w:r>
      <w:r w:rsidRPr="009A5412">
        <w:rPr>
          <w:rFonts w:ascii="Tw Cen MT" w:hAnsi="Tw Cen MT" w:cs="Tw Cen MT"/>
          <w:sz w:val="18"/>
          <w:szCs w:val="18"/>
        </w:rPr>
        <w:t>±</w:t>
      </w:r>
      <w:r w:rsidRPr="009A5412">
        <w:rPr>
          <w:rFonts w:ascii="Tw Cen MT" w:hAnsi="Tw Cen MT"/>
          <w:sz w:val="18"/>
          <w:szCs w:val="18"/>
        </w:rPr>
        <w:t xml:space="preserve">0.17; </w:t>
      </w:r>
      <w:r w:rsidRPr="009A5412">
        <w:rPr>
          <w:rFonts w:ascii="Tw Cen MT" w:eastAsia="Times New Roman" w:hAnsi="Tw Cen MT"/>
          <w:sz w:val="18"/>
          <w:szCs w:val="18"/>
          <w:lang w:eastAsia="en-IN"/>
        </w:rPr>
        <w:t>48.95</w:t>
      </w:r>
      <w:r w:rsidRPr="009A5412">
        <w:rPr>
          <w:rFonts w:ascii="Tw Cen MT" w:hAnsi="Tw Cen MT"/>
          <w:sz w:val="18"/>
          <w:szCs w:val="18"/>
        </w:rPr>
        <w:t>±</w:t>
      </w:r>
      <w:r w:rsidRPr="009A5412">
        <w:rPr>
          <w:rFonts w:ascii="Tw Cen MT" w:eastAsia="Times New Roman" w:hAnsi="Tw Cen MT"/>
          <w:sz w:val="18"/>
          <w:szCs w:val="18"/>
          <w:lang w:eastAsia="en-IN"/>
        </w:rPr>
        <w:t xml:space="preserve">29.13 </w:t>
      </w:r>
      <w:r w:rsidRPr="009A5412">
        <w:rPr>
          <w:rFonts w:ascii="Tw Cen MT" w:hAnsi="Tw Cen MT"/>
          <w:sz w:val="18"/>
          <w:szCs w:val="18"/>
        </w:rPr>
        <w:t xml:space="preserve">µmol/L) compared to controls (0.49±0.04; 20.7±2.62 µmol/L, p&lt;0.001). Urine catalytic iron positively correlated with tissue peroxidation (r=0.469, CI </w:t>
      </w:r>
      <w:r w:rsidRPr="009A5412">
        <w:rPr>
          <w:rFonts w:ascii="Tw Cen MT" w:eastAsia="Times New Roman" w:hAnsi="Tw Cen MT"/>
          <w:sz w:val="18"/>
          <w:szCs w:val="18"/>
          <w:lang w:eastAsia="en-IN"/>
        </w:rPr>
        <w:t xml:space="preserve">0.122 to 0.667, </w:t>
      </w:r>
      <w:r w:rsidRPr="009A5412">
        <w:rPr>
          <w:rFonts w:ascii="Tw Cen MT" w:hAnsi="Tw Cen MT"/>
          <w:sz w:val="18"/>
          <w:szCs w:val="18"/>
        </w:rPr>
        <w:t>p=0.004) and urinary NGAL (</w:t>
      </w:r>
      <w:r w:rsidRPr="009A5412">
        <w:rPr>
          <w:rFonts w:ascii="Tw Cen MT" w:eastAsia="Times New Roman" w:hAnsi="Tw Cen MT"/>
          <w:sz w:val="18"/>
          <w:szCs w:val="18"/>
          <w:lang w:eastAsia="en-IN"/>
        </w:rPr>
        <w:t>r=0.788, CI 0.620 to 0.887, p&lt;0.001</w:t>
      </w:r>
      <w:r w:rsidRPr="009A5412">
        <w:rPr>
          <w:rFonts w:ascii="Tw Cen MT" w:hAnsi="Tw Cen MT"/>
          <w:sz w:val="18"/>
          <w:szCs w:val="18"/>
        </w:rPr>
        <w:t xml:space="preserve">). 25-hydroxyvitamin D3 (61.58±9.60 ng/mL) and 1,25-dihydroxyvitamin D3 (50.44±19.76 </w:t>
      </w:r>
      <w:proofErr w:type="spellStart"/>
      <w:r w:rsidRPr="009A5412">
        <w:rPr>
          <w:rFonts w:ascii="Tw Cen MT" w:hAnsi="Tw Cen MT"/>
          <w:sz w:val="18"/>
          <w:szCs w:val="18"/>
        </w:rPr>
        <w:t>pg</w:t>
      </w:r>
      <w:proofErr w:type="spellEnd"/>
      <w:r w:rsidRPr="009A5412">
        <w:rPr>
          <w:rFonts w:ascii="Tw Cen MT" w:hAnsi="Tw Cen MT"/>
          <w:sz w:val="18"/>
          <w:szCs w:val="18"/>
        </w:rPr>
        <w:t>/mL) levels increased simultaneously. On a multivariate linear regression analysis, serum iron, urine catalytic iron and tissue lipid peroxidation independently and positively predicted urinary NGAL, an AKI biomarker.</w:t>
      </w:r>
      <w:bookmarkStart w:id="0" w:name="_Hlk18064535"/>
      <w:r w:rsidRPr="009A5412">
        <w:rPr>
          <w:rFonts w:ascii="Tw Cen MT" w:hAnsi="Tw Cen MT"/>
          <w:sz w:val="18"/>
          <w:szCs w:val="18"/>
        </w:rPr>
        <w:t xml:space="preserve">  This study highlights the nephrotoxic potential of catalytic iron besides demonstrating a concurrent induction of vitamin D endogenously for possible renoprotection in AKI.</w:t>
      </w:r>
    </w:p>
    <w:p w14:paraId="6DAF2007" w14:textId="77777777" w:rsidR="00A875D3" w:rsidRPr="009A5412" w:rsidRDefault="00A875D3" w:rsidP="00A875D3">
      <w:pPr>
        <w:tabs>
          <w:tab w:val="left" w:pos="2604"/>
        </w:tabs>
        <w:ind w:left="-57"/>
        <w:jc w:val="both"/>
        <w:rPr>
          <w:rFonts w:ascii="Tw Cen MT" w:hAnsi="Tw Cen MT"/>
          <w:b/>
          <w:sz w:val="18"/>
          <w:szCs w:val="18"/>
        </w:rPr>
      </w:pPr>
    </w:p>
    <w:bookmarkEnd w:id="0"/>
    <w:p w14:paraId="6EACE646" w14:textId="383401D6" w:rsidR="00A875D3" w:rsidRPr="009A5412" w:rsidRDefault="00D85D22" w:rsidP="00A875D3">
      <w:pPr>
        <w:spacing w:line="360" w:lineRule="auto"/>
        <w:ind w:left="-57"/>
        <w:jc w:val="both"/>
        <w:rPr>
          <w:rFonts w:ascii="Tw Cen MT" w:hAnsi="Tw Cen MT"/>
          <w:bCs/>
          <w:sz w:val="18"/>
          <w:szCs w:val="18"/>
        </w:rPr>
      </w:pPr>
      <w:r>
        <w:rPr>
          <w:bCs/>
          <w:noProof/>
        </w:rPr>
        <mc:AlternateContent>
          <mc:Choice Requires="wps">
            <w:drawing>
              <wp:anchor distT="0" distB="0" distL="114300" distR="114300" simplePos="0" relativeHeight="251659264" behindDoc="0" locked="0" layoutInCell="1" allowOverlap="1" wp14:anchorId="7694D4BF" wp14:editId="39020BA2">
                <wp:simplePos x="0" y="0"/>
                <wp:positionH relativeFrom="column">
                  <wp:posOffset>-95250</wp:posOffset>
                </wp:positionH>
                <wp:positionV relativeFrom="paragraph">
                  <wp:posOffset>412115</wp:posOffset>
                </wp:positionV>
                <wp:extent cx="5981700" cy="2527300"/>
                <wp:effectExtent l="0" t="0" r="19050" b="25400"/>
                <wp:wrapNone/>
                <wp:docPr id="1" name="Text Box 1"/>
                <wp:cNvGraphicFramePr/>
                <a:graphic xmlns:a="http://schemas.openxmlformats.org/drawingml/2006/main">
                  <a:graphicData uri="http://schemas.microsoft.com/office/word/2010/wordprocessingShape">
                    <wps:wsp>
                      <wps:cNvSpPr txBox="1"/>
                      <wps:spPr>
                        <a:xfrm>
                          <a:off x="0" y="0"/>
                          <a:ext cx="5981700" cy="2527300"/>
                        </a:xfrm>
                        <a:prstGeom prst="rect">
                          <a:avLst/>
                        </a:prstGeom>
                        <a:solidFill>
                          <a:schemeClr val="lt1"/>
                        </a:solidFill>
                        <a:ln w="6350">
                          <a:solidFill>
                            <a:prstClr val="black"/>
                          </a:solidFill>
                        </a:ln>
                      </wps:spPr>
                      <wps:txbx>
                        <w:txbxContent>
                          <w:p w14:paraId="10D3A332" w14:textId="77777777" w:rsidR="002F439A" w:rsidRPr="002F439A" w:rsidRDefault="002F439A" w:rsidP="002F439A">
                            <w:pPr>
                              <w:jc w:val="both"/>
                              <w:rPr>
                                <w:rFonts w:ascii="Tw Cen MT" w:hAnsi="Tw Cen MT"/>
                                <w:b/>
                                <w:sz w:val="20"/>
                                <w:szCs w:val="20"/>
                              </w:rPr>
                            </w:pPr>
                            <w:r w:rsidRPr="002F439A">
                              <w:rPr>
                                <w:rFonts w:ascii="Tw Cen MT" w:hAnsi="Tw Cen MT"/>
                                <w:b/>
                                <w:sz w:val="20"/>
                                <w:szCs w:val="20"/>
                              </w:rPr>
                              <w:t>Biography</w:t>
                            </w:r>
                          </w:p>
                          <w:p w14:paraId="222879CD" w14:textId="77777777" w:rsidR="002F439A" w:rsidRPr="002F439A" w:rsidRDefault="002F439A" w:rsidP="002F439A">
                            <w:pPr>
                              <w:jc w:val="both"/>
                              <w:rPr>
                                <w:rFonts w:ascii="Tw Cen MT" w:hAnsi="Tw Cen MT"/>
                                <w:b/>
                                <w:sz w:val="20"/>
                                <w:szCs w:val="20"/>
                              </w:rPr>
                            </w:pPr>
                          </w:p>
                          <w:p w14:paraId="497EF446" w14:textId="336ECE6F" w:rsidR="002F439A" w:rsidRDefault="002F439A" w:rsidP="002F439A">
                            <w:pPr>
                              <w:jc w:val="both"/>
                              <w:rPr>
                                <w:rFonts w:ascii="Tw Cen MT" w:hAnsi="Tw Cen MT"/>
                                <w:sz w:val="20"/>
                                <w:szCs w:val="20"/>
                              </w:rPr>
                            </w:pPr>
                            <w:r>
                              <w:rPr>
                                <w:rFonts w:ascii="Tw Cen MT" w:hAnsi="Tw Cen MT"/>
                                <w:noProof/>
                                <w:sz w:val="20"/>
                                <w:szCs w:val="20"/>
                              </w:rPr>
                              <w:drawing>
                                <wp:inline distT="0" distB="0" distL="0" distR="0" wp14:anchorId="3CF2407B" wp14:editId="0C78AAFD">
                                  <wp:extent cx="609600" cy="79404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616669" cy="803251"/>
                                          </a:xfrm>
                                          <a:prstGeom prst="rect">
                                            <a:avLst/>
                                          </a:prstGeom>
                                        </pic:spPr>
                                      </pic:pic>
                                    </a:graphicData>
                                  </a:graphic>
                                </wp:inline>
                              </w:drawing>
                            </w:r>
                          </w:p>
                          <w:p w14:paraId="5B97F341" w14:textId="77777777" w:rsidR="002F439A" w:rsidRDefault="002F439A" w:rsidP="002F439A">
                            <w:pPr>
                              <w:jc w:val="both"/>
                              <w:rPr>
                                <w:rFonts w:ascii="Tw Cen MT" w:hAnsi="Tw Cen MT"/>
                                <w:sz w:val="20"/>
                                <w:szCs w:val="20"/>
                              </w:rPr>
                            </w:pPr>
                          </w:p>
                          <w:p w14:paraId="05D56FA3" w14:textId="3D2121F1" w:rsidR="002F439A" w:rsidRDefault="002F439A" w:rsidP="002F439A">
                            <w:pPr>
                              <w:jc w:val="both"/>
                              <w:rPr>
                                <w:rFonts w:ascii="Tw Cen MT" w:hAnsi="Tw Cen MT"/>
                                <w:sz w:val="20"/>
                                <w:szCs w:val="20"/>
                              </w:rPr>
                            </w:pPr>
                            <w:r w:rsidRPr="002F439A">
                              <w:rPr>
                                <w:rFonts w:ascii="Tw Cen MT" w:hAnsi="Tw Cen MT"/>
                                <w:sz w:val="20"/>
                                <w:szCs w:val="20"/>
                              </w:rPr>
                              <w:t>Dr. Pragasam Viswanathan has completed his PhD at the age of 29 years from University of Madras, Dr. ALM PGIBMS and postdoctoral studies from Medical College of Wisconsin, Milwaukee, US. Currently he is the Professor</w:t>
                            </w:r>
                            <w:r>
                              <w:rPr>
                                <w:rFonts w:ascii="Tw Cen MT" w:hAnsi="Tw Cen MT"/>
                                <w:sz w:val="20"/>
                                <w:szCs w:val="20"/>
                              </w:rPr>
                              <w:t xml:space="preserve"> and Dean for the</w:t>
                            </w:r>
                            <w:r w:rsidRPr="002F439A">
                              <w:rPr>
                                <w:rFonts w:ascii="Tw Cen MT" w:hAnsi="Tw Cen MT"/>
                                <w:sz w:val="20"/>
                                <w:szCs w:val="20"/>
                              </w:rPr>
                              <w:t xml:space="preserve"> School of Bio Sciences and Technology, VIT University, Vellore, Tamil Nadu, India. He has published more than </w:t>
                            </w:r>
                            <w:r>
                              <w:rPr>
                                <w:rFonts w:ascii="Tw Cen MT" w:hAnsi="Tw Cen MT"/>
                                <w:sz w:val="20"/>
                                <w:szCs w:val="20"/>
                              </w:rPr>
                              <w:t>40</w:t>
                            </w:r>
                            <w:r w:rsidRPr="002F439A">
                              <w:rPr>
                                <w:rFonts w:ascii="Tw Cen MT" w:hAnsi="Tw Cen MT"/>
                                <w:sz w:val="20"/>
                                <w:szCs w:val="20"/>
                              </w:rPr>
                              <w:t xml:space="preserve"> papers in reputed journals and has been serving as an editorial board member</w:t>
                            </w:r>
                            <w:r>
                              <w:rPr>
                                <w:rFonts w:ascii="Tw Cen MT" w:hAnsi="Tw Cen MT"/>
                                <w:sz w:val="20"/>
                                <w:szCs w:val="20"/>
                              </w:rPr>
                              <w:t xml:space="preserve"> and Academic </w:t>
                            </w:r>
                            <w:proofErr w:type="gramStart"/>
                            <w:r>
                              <w:rPr>
                                <w:rFonts w:ascii="Tw Cen MT" w:hAnsi="Tw Cen MT"/>
                                <w:sz w:val="20"/>
                                <w:szCs w:val="20"/>
                              </w:rPr>
                              <w:t xml:space="preserve">Editor </w:t>
                            </w:r>
                            <w:r w:rsidRPr="002F439A">
                              <w:rPr>
                                <w:rFonts w:ascii="Tw Cen MT" w:hAnsi="Tw Cen MT"/>
                                <w:sz w:val="20"/>
                                <w:szCs w:val="20"/>
                              </w:rPr>
                              <w:t xml:space="preserve"> of</w:t>
                            </w:r>
                            <w:proofErr w:type="gramEnd"/>
                            <w:r w:rsidRPr="002F439A">
                              <w:rPr>
                                <w:rFonts w:ascii="Tw Cen MT" w:hAnsi="Tw Cen MT"/>
                                <w:sz w:val="20"/>
                                <w:szCs w:val="20"/>
                              </w:rPr>
                              <w:t xml:space="preserve"> repute. </w:t>
                            </w:r>
                          </w:p>
                          <w:p w14:paraId="3B1FE448" w14:textId="1E8512F5" w:rsidR="00D85D22" w:rsidRDefault="00D85D22" w:rsidP="002F439A">
                            <w:pPr>
                              <w:jc w:val="both"/>
                              <w:rPr>
                                <w:rFonts w:ascii="Tw Cen MT" w:hAnsi="Tw Cen MT"/>
                                <w:sz w:val="20"/>
                                <w:szCs w:val="20"/>
                              </w:rPr>
                            </w:pPr>
                          </w:p>
                          <w:p w14:paraId="7234F0F5" w14:textId="77777777" w:rsidR="00D85D22" w:rsidRPr="002F439A" w:rsidRDefault="00D85D22" w:rsidP="002F439A">
                            <w:pPr>
                              <w:jc w:val="both"/>
                              <w:rPr>
                                <w:rFonts w:ascii="Tw Cen MT" w:hAnsi="Tw Cen MT"/>
                                <w:sz w:val="20"/>
                                <w:szCs w:val="20"/>
                              </w:rPr>
                            </w:pPr>
                          </w:p>
                          <w:p w14:paraId="0B9526E4" w14:textId="77777777" w:rsidR="002F439A" w:rsidRDefault="002F43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94D4BF" id="_x0000_t202" coordsize="21600,21600" o:spt="202" path="m,l,21600r21600,l21600,xe">
                <v:stroke joinstyle="miter"/>
                <v:path gradientshapeok="t" o:connecttype="rect"/>
              </v:shapetype>
              <v:shape id="Text Box 1" o:spid="_x0000_s1026" type="#_x0000_t202" style="position:absolute;left:0;text-align:left;margin-left:-7.5pt;margin-top:32.45pt;width:471pt;height:19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" fillcolor="white [3201]" strokeweight=".5pt">
                <v:textbox>
                  <w:txbxContent>
                    <w:p w14:paraId="10D3A332" w14:textId="77777777" w:rsidR="002F439A" w:rsidRPr="002F439A" w:rsidRDefault="002F439A" w:rsidP="002F439A">
                      <w:pPr>
                        <w:jc w:val="both"/>
                        <w:rPr>
                          <w:rFonts w:ascii="Tw Cen MT" w:hAnsi="Tw Cen MT"/>
                          <w:b/>
                          <w:sz w:val="20"/>
                          <w:szCs w:val="20"/>
                        </w:rPr>
                      </w:pPr>
                      <w:r w:rsidRPr="002F439A">
                        <w:rPr>
                          <w:rFonts w:ascii="Tw Cen MT" w:hAnsi="Tw Cen MT"/>
                          <w:b/>
                          <w:sz w:val="20"/>
                          <w:szCs w:val="20"/>
                        </w:rPr>
                        <w:t>Biography</w:t>
                      </w:r>
                    </w:p>
                    <w:p w14:paraId="222879CD" w14:textId="77777777" w:rsidR="002F439A" w:rsidRPr="002F439A" w:rsidRDefault="002F439A" w:rsidP="002F439A">
                      <w:pPr>
                        <w:jc w:val="both"/>
                        <w:rPr>
                          <w:rFonts w:ascii="Tw Cen MT" w:hAnsi="Tw Cen MT"/>
                          <w:b/>
                          <w:sz w:val="20"/>
                          <w:szCs w:val="20"/>
                        </w:rPr>
                      </w:pPr>
                    </w:p>
                    <w:p w14:paraId="497EF446" w14:textId="336ECE6F" w:rsidR="002F439A" w:rsidRDefault="002F439A" w:rsidP="002F439A">
                      <w:pPr>
                        <w:jc w:val="both"/>
                        <w:rPr>
                          <w:rFonts w:ascii="Tw Cen MT" w:hAnsi="Tw Cen MT"/>
                          <w:sz w:val="20"/>
                          <w:szCs w:val="20"/>
                        </w:rPr>
                      </w:pPr>
                      <w:r>
                        <w:rPr>
                          <w:rFonts w:ascii="Tw Cen MT" w:hAnsi="Tw Cen MT"/>
                          <w:noProof/>
                          <w:sz w:val="20"/>
                          <w:szCs w:val="20"/>
                        </w:rPr>
                        <w:drawing>
                          <wp:inline distT="0" distB="0" distL="0" distR="0" wp14:anchorId="3CF2407B" wp14:editId="0C78AAFD">
                            <wp:extent cx="609600" cy="794043"/>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616669" cy="803251"/>
                                    </a:xfrm>
                                    <a:prstGeom prst="rect">
                                      <a:avLst/>
                                    </a:prstGeom>
                                  </pic:spPr>
                                </pic:pic>
                              </a:graphicData>
                            </a:graphic>
                          </wp:inline>
                        </w:drawing>
                      </w:r>
                    </w:p>
                    <w:p w14:paraId="5B97F341" w14:textId="77777777" w:rsidR="002F439A" w:rsidRDefault="002F439A" w:rsidP="002F439A">
                      <w:pPr>
                        <w:jc w:val="both"/>
                        <w:rPr>
                          <w:rFonts w:ascii="Tw Cen MT" w:hAnsi="Tw Cen MT"/>
                          <w:sz w:val="20"/>
                          <w:szCs w:val="20"/>
                        </w:rPr>
                      </w:pPr>
                    </w:p>
                    <w:p w14:paraId="05D56FA3" w14:textId="3D2121F1" w:rsidR="002F439A" w:rsidRDefault="002F439A" w:rsidP="002F439A">
                      <w:pPr>
                        <w:jc w:val="both"/>
                        <w:rPr>
                          <w:rFonts w:ascii="Tw Cen MT" w:hAnsi="Tw Cen MT"/>
                          <w:sz w:val="20"/>
                          <w:szCs w:val="20"/>
                        </w:rPr>
                      </w:pPr>
                      <w:r w:rsidRPr="002F439A">
                        <w:rPr>
                          <w:rFonts w:ascii="Tw Cen MT" w:hAnsi="Tw Cen MT"/>
                          <w:sz w:val="20"/>
                          <w:szCs w:val="20"/>
                        </w:rPr>
                        <w:t>Dr. Pragasam Viswanathan has completed his PhD at the age of 29 years from University of Madras, Dr. ALM PGIBMS and postdoctoral studies from Medical College of Wisconsin, Milwaukee, US. Currently he is the Professor</w:t>
                      </w:r>
                      <w:r>
                        <w:rPr>
                          <w:rFonts w:ascii="Tw Cen MT" w:hAnsi="Tw Cen MT"/>
                          <w:sz w:val="20"/>
                          <w:szCs w:val="20"/>
                        </w:rPr>
                        <w:t xml:space="preserve"> and Dean for the</w:t>
                      </w:r>
                      <w:r w:rsidRPr="002F439A">
                        <w:rPr>
                          <w:rFonts w:ascii="Tw Cen MT" w:hAnsi="Tw Cen MT"/>
                          <w:sz w:val="20"/>
                          <w:szCs w:val="20"/>
                        </w:rPr>
                        <w:t xml:space="preserve"> School of Bio Sciences and Technology, VIT University, Vellore, Tamil Nadu, India. He has published more than </w:t>
                      </w:r>
                      <w:r>
                        <w:rPr>
                          <w:rFonts w:ascii="Tw Cen MT" w:hAnsi="Tw Cen MT"/>
                          <w:sz w:val="20"/>
                          <w:szCs w:val="20"/>
                        </w:rPr>
                        <w:t>40</w:t>
                      </w:r>
                      <w:r w:rsidRPr="002F439A">
                        <w:rPr>
                          <w:rFonts w:ascii="Tw Cen MT" w:hAnsi="Tw Cen MT"/>
                          <w:sz w:val="20"/>
                          <w:szCs w:val="20"/>
                        </w:rPr>
                        <w:t xml:space="preserve"> papers in reputed journals and has been serving as an editorial board member</w:t>
                      </w:r>
                      <w:r>
                        <w:rPr>
                          <w:rFonts w:ascii="Tw Cen MT" w:hAnsi="Tw Cen MT"/>
                          <w:sz w:val="20"/>
                          <w:szCs w:val="20"/>
                        </w:rPr>
                        <w:t xml:space="preserve"> and Academic </w:t>
                      </w:r>
                      <w:proofErr w:type="gramStart"/>
                      <w:r>
                        <w:rPr>
                          <w:rFonts w:ascii="Tw Cen MT" w:hAnsi="Tw Cen MT"/>
                          <w:sz w:val="20"/>
                          <w:szCs w:val="20"/>
                        </w:rPr>
                        <w:t xml:space="preserve">Editor </w:t>
                      </w:r>
                      <w:r w:rsidRPr="002F439A">
                        <w:rPr>
                          <w:rFonts w:ascii="Tw Cen MT" w:hAnsi="Tw Cen MT"/>
                          <w:sz w:val="20"/>
                          <w:szCs w:val="20"/>
                        </w:rPr>
                        <w:t xml:space="preserve"> of</w:t>
                      </w:r>
                      <w:proofErr w:type="gramEnd"/>
                      <w:r w:rsidRPr="002F439A">
                        <w:rPr>
                          <w:rFonts w:ascii="Tw Cen MT" w:hAnsi="Tw Cen MT"/>
                          <w:sz w:val="20"/>
                          <w:szCs w:val="20"/>
                        </w:rPr>
                        <w:t xml:space="preserve"> repute. </w:t>
                      </w:r>
                    </w:p>
                    <w:p w14:paraId="3B1FE448" w14:textId="1E8512F5" w:rsidR="00D85D22" w:rsidRDefault="00D85D22" w:rsidP="002F439A">
                      <w:pPr>
                        <w:jc w:val="both"/>
                        <w:rPr>
                          <w:rFonts w:ascii="Tw Cen MT" w:hAnsi="Tw Cen MT"/>
                          <w:sz w:val="20"/>
                          <w:szCs w:val="20"/>
                        </w:rPr>
                      </w:pPr>
                    </w:p>
                    <w:p w14:paraId="7234F0F5" w14:textId="77777777" w:rsidR="00D85D22" w:rsidRPr="002F439A" w:rsidRDefault="00D85D22" w:rsidP="002F439A">
                      <w:pPr>
                        <w:jc w:val="both"/>
                        <w:rPr>
                          <w:rFonts w:ascii="Tw Cen MT" w:hAnsi="Tw Cen MT"/>
                          <w:sz w:val="20"/>
                          <w:szCs w:val="20"/>
                        </w:rPr>
                      </w:pPr>
                    </w:p>
                    <w:p w14:paraId="0B9526E4" w14:textId="77777777" w:rsidR="002F439A" w:rsidRDefault="002F439A"/>
                  </w:txbxContent>
                </v:textbox>
              </v:shape>
            </w:pict>
          </mc:Fallback>
        </mc:AlternateContent>
      </w:r>
      <w:r w:rsidR="00A875D3" w:rsidRPr="009A5412">
        <w:rPr>
          <w:rFonts w:ascii="Tw Cen MT" w:hAnsi="Tw Cen MT"/>
          <w:b/>
          <w:color w:val="C00000"/>
          <w:sz w:val="18"/>
          <w:szCs w:val="18"/>
        </w:rPr>
        <w:t>Key words</w:t>
      </w:r>
      <w:r w:rsidR="009A5412">
        <w:rPr>
          <w:rFonts w:ascii="Tw Cen MT" w:hAnsi="Tw Cen MT"/>
          <w:b/>
          <w:color w:val="C00000"/>
          <w:sz w:val="18"/>
          <w:szCs w:val="18"/>
        </w:rPr>
        <w:t>:</w:t>
      </w:r>
      <w:r w:rsidR="00A875D3" w:rsidRPr="009A5412">
        <w:rPr>
          <w:rFonts w:ascii="Tw Cen MT" w:hAnsi="Tw Cen MT"/>
          <w:b/>
          <w:color w:val="C00000"/>
          <w:sz w:val="18"/>
          <w:szCs w:val="18"/>
        </w:rPr>
        <w:t xml:space="preserve"> </w:t>
      </w:r>
      <w:r w:rsidR="00A875D3" w:rsidRPr="009A5412">
        <w:rPr>
          <w:rFonts w:ascii="Tw Cen MT" w:hAnsi="Tw Cen MT"/>
          <w:bCs/>
          <w:sz w:val="18"/>
          <w:szCs w:val="18"/>
        </w:rPr>
        <w:t>Catalytic iron, transferrin, ferritin, hepcidin, vitamin D, oxidative stress, acute kidney injury</w:t>
      </w:r>
    </w:p>
    <w:p w14:paraId="3FE66527" w14:textId="77777777" w:rsidR="009A5412" w:rsidRPr="009A5412" w:rsidRDefault="009A5412" w:rsidP="00A875D3">
      <w:pPr>
        <w:spacing w:line="360" w:lineRule="auto"/>
        <w:ind w:left="-57"/>
        <w:jc w:val="both"/>
        <w:rPr>
          <w:rFonts w:ascii="Tw Cen MT" w:hAnsi="Tw Cen MT"/>
          <w:b/>
          <w:sz w:val="18"/>
          <w:szCs w:val="18"/>
        </w:rPr>
      </w:pPr>
    </w:p>
    <w:p w14:paraId="461B940D" w14:textId="2D9ECB34" w:rsidR="00A875D3" w:rsidRPr="009A5412" w:rsidRDefault="00A875D3" w:rsidP="00A875D3">
      <w:pPr>
        <w:spacing w:line="360" w:lineRule="auto"/>
        <w:ind w:left="-57"/>
        <w:jc w:val="both"/>
        <w:rPr>
          <w:rFonts w:ascii="Tw Cen MT" w:hAnsi="Tw Cen MT"/>
          <w:bCs/>
          <w:color w:val="C00000"/>
          <w:sz w:val="18"/>
          <w:szCs w:val="18"/>
        </w:rPr>
      </w:pPr>
      <w:r w:rsidRPr="009A5412">
        <w:rPr>
          <w:rFonts w:ascii="Tw Cen MT" w:hAnsi="Tw Cen MT"/>
          <w:b/>
          <w:color w:val="C00000"/>
          <w:sz w:val="18"/>
          <w:szCs w:val="18"/>
        </w:rPr>
        <w:t>Recent Publications:</w:t>
      </w:r>
    </w:p>
    <w:p w14:paraId="1CC91626" w14:textId="1479B0A0" w:rsidR="00A875D3" w:rsidRPr="009A5412" w:rsidRDefault="00A875D3" w:rsidP="00A875D3">
      <w:pPr>
        <w:pStyle w:val="ListParagraph"/>
        <w:numPr>
          <w:ilvl w:val="0"/>
          <w:numId w:val="2"/>
        </w:numPr>
        <w:spacing w:after="0" w:line="240" w:lineRule="auto"/>
        <w:jc w:val="both"/>
        <w:rPr>
          <w:rStyle w:val="Hyperlink"/>
          <w:rFonts w:ascii="Tw Cen MT" w:hAnsi="Tw Cen MT" w:cs="Times New Roman"/>
          <w:color w:val="006ACC"/>
          <w:sz w:val="18"/>
          <w:szCs w:val="18"/>
          <w:u w:val="none"/>
          <w:shd w:val="clear" w:color="auto" w:fill="FFFFFF"/>
        </w:rPr>
      </w:pPr>
      <w:r w:rsidRPr="009A5412">
        <w:rPr>
          <w:rFonts w:ascii="Tw Cen MT" w:hAnsi="Tw Cen MT" w:cs="Times New Roman"/>
          <w:bCs/>
          <w:sz w:val="18"/>
          <w:szCs w:val="18"/>
        </w:rPr>
        <w:t xml:space="preserve">Chandra </w:t>
      </w:r>
      <w:proofErr w:type="spellStart"/>
      <w:r w:rsidRPr="009A5412">
        <w:rPr>
          <w:rFonts w:ascii="Tw Cen MT" w:hAnsi="Tw Cen MT" w:cs="Times New Roman"/>
          <w:bCs/>
          <w:sz w:val="18"/>
          <w:szCs w:val="18"/>
        </w:rPr>
        <w:t>Shakar</w:t>
      </w:r>
      <w:proofErr w:type="spellEnd"/>
      <w:r w:rsidRPr="009A5412">
        <w:rPr>
          <w:rFonts w:ascii="Tw Cen MT" w:hAnsi="Tw Cen MT" w:cs="Times New Roman"/>
          <w:bCs/>
          <w:sz w:val="18"/>
          <w:szCs w:val="18"/>
        </w:rPr>
        <w:t xml:space="preserve"> A, Rajesh NG and </w:t>
      </w:r>
      <w:r w:rsidRPr="009A5412">
        <w:rPr>
          <w:rFonts w:ascii="Tw Cen MT" w:hAnsi="Tw Cen MT" w:cs="Times New Roman"/>
          <w:b/>
          <w:sz w:val="18"/>
          <w:szCs w:val="18"/>
        </w:rPr>
        <w:t>Pragasam V</w:t>
      </w:r>
      <w:r w:rsidRPr="009A5412">
        <w:rPr>
          <w:rFonts w:ascii="Tw Cen MT" w:hAnsi="Tw Cen MT" w:cs="Times New Roman"/>
          <w:bCs/>
          <w:sz w:val="18"/>
          <w:szCs w:val="18"/>
        </w:rPr>
        <w:t xml:space="preserve">. </w:t>
      </w:r>
      <w:proofErr w:type="spellStart"/>
      <w:r w:rsidRPr="009A5412">
        <w:rPr>
          <w:rFonts w:ascii="Tw Cen MT" w:hAnsi="Tw Cen MT" w:cs="Times New Roman"/>
          <w:bCs/>
          <w:sz w:val="18"/>
          <w:szCs w:val="18"/>
        </w:rPr>
        <w:t>Ferrotoxicity</w:t>
      </w:r>
      <w:proofErr w:type="spellEnd"/>
      <w:r w:rsidRPr="009A5412">
        <w:rPr>
          <w:rFonts w:ascii="Tw Cen MT" w:hAnsi="Tw Cen MT" w:cs="Times New Roman"/>
          <w:bCs/>
          <w:sz w:val="18"/>
          <w:szCs w:val="18"/>
        </w:rPr>
        <w:t xml:space="preserve"> and its impact on endogenous vitamin D in experimental acute kidney injury. Experimental Biology and Medicine, Volume: 245 issue: 16, page(s): 1474-1489. </w:t>
      </w:r>
      <w:hyperlink r:id="rId6" w:history="1">
        <w:r w:rsidRPr="009A5412">
          <w:rPr>
            <w:rStyle w:val="Hyperlink"/>
            <w:rFonts w:ascii="Tw Cen MT" w:hAnsi="Tw Cen MT" w:cs="Times New Roman"/>
            <w:sz w:val="18"/>
            <w:szCs w:val="18"/>
            <w:shd w:val="clear" w:color="auto" w:fill="FFFFFF"/>
          </w:rPr>
          <w:t>https://doi.org/10.1177/1535370220946271</w:t>
        </w:r>
      </w:hyperlink>
      <w:r w:rsidRPr="009A5412">
        <w:rPr>
          <w:rStyle w:val="Hyperlink"/>
          <w:rFonts w:ascii="Tw Cen MT" w:hAnsi="Tw Cen MT" w:cs="Times New Roman"/>
          <w:color w:val="006ACC"/>
          <w:sz w:val="18"/>
          <w:szCs w:val="18"/>
          <w:u w:val="none"/>
          <w:shd w:val="clear" w:color="auto" w:fill="FFFFFF"/>
        </w:rPr>
        <w:t xml:space="preserve">.  </w:t>
      </w:r>
    </w:p>
    <w:p w14:paraId="3053CF17" w14:textId="5F999EBF" w:rsidR="00A875D3" w:rsidRPr="009A5412" w:rsidRDefault="009A5412" w:rsidP="009A5412">
      <w:pPr>
        <w:pStyle w:val="ListParagraph"/>
        <w:numPr>
          <w:ilvl w:val="0"/>
          <w:numId w:val="2"/>
        </w:numPr>
        <w:spacing w:after="0" w:line="240" w:lineRule="auto"/>
        <w:jc w:val="both"/>
        <w:rPr>
          <w:rStyle w:val="Hyperlink"/>
          <w:rFonts w:ascii="Tw Cen MT" w:hAnsi="Tw Cen MT" w:cs="Times New Roman"/>
          <w:bCs/>
          <w:color w:val="auto"/>
          <w:sz w:val="18"/>
          <w:szCs w:val="18"/>
          <w:u w:val="none"/>
        </w:rPr>
      </w:pPr>
      <w:proofErr w:type="spellStart"/>
      <w:r w:rsidRPr="009A5412">
        <w:rPr>
          <w:rFonts w:ascii="Tw Cen MT" w:hAnsi="Tw Cen MT" w:cs="Times New Roman"/>
          <w:bCs/>
          <w:sz w:val="18"/>
          <w:szCs w:val="18"/>
        </w:rPr>
        <w:t>Yuvashree</w:t>
      </w:r>
      <w:proofErr w:type="spellEnd"/>
      <w:r w:rsidRPr="009A5412">
        <w:rPr>
          <w:rFonts w:ascii="Tw Cen MT" w:hAnsi="Tw Cen MT" w:cs="Times New Roman"/>
          <w:bCs/>
          <w:sz w:val="18"/>
          <w:szCs w:val="18"/>
        </w:rPr>
        <w:t xml:space="preserve"> M, </w:t>
      </w:r>
      <w:r w:rsidRPr="009A5412">
        <w:rPr>
          <w:rFonts w:ascii="Tw Cen MT" w:hAnsi="Tw Cen MT" w:cs="Times New Roman"/>
          <w:sz w:val="18"/>
          <w:szCs w:val="18"/>
        </w:rPr>
        <w:t xml:space="preserve">Rajesh NG, </w:t>
      </w:r>
      <w:r w:rsidRPr="009A5412">
        <w:rPr>
          <w:rFonts w:ascii="Tw Cen MT" w:hAnsi="Tw Cen MT" w:cs="Times New Roman"/>
          <w:b/>
          <w:bCs/>
          <w:sz w:val="18"/>
          <w:szCs w:val="18"/>
        </w:rPr>
        <w:t>Pragasam V.</w:t>
      </w:r>
      <w:r w:rsidRPr="009A5412">
        <w:rPr>
          <w:rFonts w:ascii="Tw Cen MT" w:hAnsi="Tw Cen MT" w:cs="Times New Roman"/>
          <w:b/>
          <w:sz w:val="18"/>
          <w:szCs w:val="18"/>
        </w:rPr>
        <w:t xml:space="preserve"> </w:t>
      </w:r>
      <w:r w:rsidRPr="009A5412">
        <w:rPr>
          <w:rFonts w:ascii="Tw Cen MT" w:hAnsi="Tw Cen MT" w:cs="Times New Roman"/>
          <w:bCs/>
          <w:sz w:val="18"/>
          <w:szCs w:val="18"/>
        </w:rPr>
        <w:t xml:space="preserve"> Potential application of </w:t>
      </w:r>
      <w:proofErr w:type="spellStart"/>
      <w:r w:rsidRPr="009A5412">
        <w:rPr>
          <w:rFonts w:ascii="Tw Cen MT" w:hAnsi="Tw Cen MT" w:cs="Times New Roman"/>
          <w:bCs/>
          <w:sz w:val="18"/>
          <w:szCs w:val="18"/>
        </w:rPr>
        <w:t>nanoemulsified</w:t>
      </w:r>
      <w:proofErr w:type="spellEnd"/>
      <w:r w:rsidRPr="009A5412">
        <w:rPr>
          <w:rFonts w:ascii="Tw Cen MT" w:hAnsi="Tw Cen MT" w:cs="Times New Roman"/>
          <w:bCs/>
          <w:sz w:val="18"/>
          <w:szCs w:val="18"/>
        </w:rPr>
        <w:t xml:space="preserve"> garlic oil blend in mitigating the progression of type 2 diabetes mediated nephropathy in Wistar rats. 3 Biotech 10, 272 (2020). </w:t>
      </w:r>
      <w:hyperlink r:id="rId7" w:history="1">
        <w:r w:rsidRPr="009A5412">
          <w:rPr>
            <w:rStyle w:val="Hyperlink"/>
            <w:rFonts w:ascii="Tw Cen MT" w:hAnsi="Tw Cen MT" w:cs="Times New Roman"/>
            <w:bCs/>
            <w:sz w:val="18"/>
            <w:szCs w:val="18"/>
          </w:rPr>
          <w:t>https://doi.org/10.1007/s13205-020-02262-w</w:t>
        </w:r>
      </w:hyperlink>
    </w:p>
    <w:p w14:paraId="236BDE1B" w14:textId="7BE14ABD" w:rsidR="009A5412" w:rsidRPr="009A5412" w:rsidRDefault="009A5412" w:rsidP="009A5412">
      <w:pPr>
        <w:pStyle w:val="ListParagraph"/>
        <w:numPr>
          <w:ilvl w:val="0"/>
          <w:numId w:val="2"/>
        </w:numPr>
        <w:spacing w:after="0" w:line="240" w:lineRule="auto"/>
        <w:jc w:val="both"/>
        <w:rPr>
          <w:rFonts w:ascii="Tw Cen MT" w:hAnsi="Tw Cen MT" w:cs="Times New Roman"/>
          <w:bCs/>
          <w:sz w:val="18"/>
          <w:szCs w:val="18"/>
        </w:rPr>
      </w:pPr>
      <w:proofErr w:type="spellStart"/>
      <w:r w:rsidRPr="009A5412">
        <w:rPr>
          <w:rFonts w:ascii="Tw Cen MT" w:hAnsi="Tw Cen MT" w:cs="Times New Roman"/>
          <w:bCs/>
          <w:sz w:val="18"/>
          <w:szCs w:val="18"/>
        </w:rPr>
        <w:t>Venkataseshan</w:t>
      </w:r>
      <w:proofErr w:type="spellEnd"/>
      <w:r w:rsidRPr="009A5412">
        <w:rPr>
          <w:rFonts w:ascii="Tw Cen MT" w:hAnsi="Tw Cen MT" w:cs="Times New Roman"/>
          <w:bCs/>
          <w:sz w:val="18"/>
          <w:szCs w:val="18"/>
        </w:rPr>
        <w:t xml:space="preserve"> Jagannathan, Venkatesan </w:t>
      </w:r>
      <w:proofErr w:type="spellStart"/>
      <w:r w:rsidRPr="009A5412">
        <w:rPr>
          <w:rFonts w:ascii="Tw Cen MT" w:hAnsi="Tw Cen MT" w:cs="Times New Roman"/>
          <w:bCs/>
          <w:sz w:val="18"/>
          <w:szCs w:val="18"/>
        </w:rPr>
        <w:t>Arthi</w:t>
      </w:r>
      <w:proofErr w:type="spellEnd"/>
      <w:r w:rsidRPr="009A5412">
        <w:rPr>
          <w:rFonts w:ascii="Tw Cen MT" w:hAnsi="Tw Cen MT" w:cs="Times New Roman"/>
          <w:bCs/>
          <w:sz w:val="18"/>
          <w:szCs w:val="18"/>
        </w:rPr>
        <w:t xml:space="preserve"> and </w:t>
      </w:r>
      <w:r w:rsidRPr="009A5412">
        <w:rPr>
          <w:rFonts w:ascii="Tw Cen MT" w:hAnsi="Tw Cen MT" w:cs="Times New Roman"/>
          <w:b/>
          <w:sz w:val="18"/>
          <w:szCs w:val="18"/>
        </w:rPr>
        <w:t>Pragasam V</w:t>
      </w:r>
      <w:r w:rsidRPr="009A5412">
        <w:rPr>
          <w:rFonts w:ascii="Tw Cen MT" w:hAnsi="Tw Cen MT" w:cs="Times New Roman"/>
          <w:bCs/>
          <w:sz w:val="18"/>
          <w:szCs w:val="18"/>
        </w:rPr>
        <w:t xml:space="preserve">. Eugenol and vanillic acid inhibit a potential enzyme of nosocomial pathogen Proteus mirabilis - kinetics and computational approach. Current Enzyme Inhibition. Volume 16, Issue 2, 2020, </w:t>
      </w:r>
      <w:hyperlink r:id="rId8" w:history="1">
        <w:r w:rsidRPr="009A5412">
          <w:rPr>
            <w:rStyle w:val="Hyperlink"/>
            <w:rFonts w:ascii="Tw Cen MT" w:hAnsi="Tw Cen MT" w:cs="Times New Roman"/>
            <w:bCs/>
            <w:sz w:val="18"/>
            <w:szCs w:val="18"/>
          </w:rPr>
          <w:t>https://doi.org/10.2174/1573408016999200415115754</w:t>
        </w:r>
      </w:hyperlink>
    </w:p>
    <w:p w14:paraId="72232959" w14:textId="3B670C0B" w:rsidR="009A5412" w:rsidRPr="009A5412" w:rsidRDefault="009A5412" w:rsidP="009A5412">
      <w:pPr>
        <w:pStyle w:val="ListParagraph"/>
        <w:numPr>
          <w:ilvl w:val="0"/>
          <w:numId w:val="2"/>
        </w:numPr>
        <w:spacing w:after="0" w:line="240" w:lineRule="auto"/>
        <w:jc w:val="both"/>
        <w:rPr>
          <w:rFonts w:ascii="Tw Cen MT" w:hAnsi="Tw Cen MT" w:cs="Times New Roman"/>
          <w:bCs/>
          <w:sz w:val="18"/>
          <w:szCs w:val="18"/>
        </w:rPr>
      </w:pPr>
      <w:proofErr w:type="spellStart"/>
      <w:r w:rsidRPr="009A5412">
        <w:rPr>
          <w:rFonts w:ascii="Tw Cen MT" w:hAnsi="Tw Cen MT" w:cs="Times New Roman"/>
          <w:bCs/>
          <w:sz w:val="18"/>
          <w:szCs w:val="18"/>
        </w:rPr>
        <w:t>Yuvashree</w:t>
      </w:r>
      <w:proofErr w:type="spellEnd"/>
      <w:r w:rsidRPr="009A5412">
        <w:rPr>
          <w:rFonts w:ascii="Tw Cen MT" w:hAnsi="Tw Cen MT" w:cs="Times New Roman"/>
          <w:bCs/>
          <w:sz w:val="18"/>
          <w:szCs w:val="18"/>
        </w:rPr>
        <w:t xml:space="preserve"> </w:t>
      </w:r>
      <w:proofErr w:type="spellStart"/>
      <w:r w:rsidRPr="009A5412">
        <w:rPr>
          <w:rFonts w:ascii="Tw Cen MT" w:hAnsi="Tw Cen MT" w:cs="Times New Roman"/>
          <w:bCs/>
          <w:sz w:val="18"/>
          <w:szCs w:val="18"/>
        </w:rPr>
        <w:t>Muralidaran</w:t>
      </w:r>
      <w:proofErr w:type="spellEnd"/>
      <w:r w:rsidRPr="009A5412">
        <w:rPr>
          <w:rFonts w:ascii="Tw Cen MT" w:hAnsi="Tw Cen MT" w:cs="Times New Roman"/>
          <w:bCs/>
          <w:sz w:val="18"/>
          <w:szCs w:val="18"/>
        </w:rPr>
        <w:t xml:space="preserve">, </w:t>
      </w:r>
      <w:proofErr w:type="spellStart"/>
      <w:r w:rsidRPr="009A5412">
        <w:rPr>
          <w:rFonts w:ascii="Tw Cen MT" w:hAnsi="Tw Cen MT" w:cs="Times New Roman"/>
          <w:bCs/>
          <w:sz w:val="18"/>
          <w:szCs w:val="18"/>
        </w:rPr>
        <w:t>Gokulakannan</w:t>
      </w:r>
      <w:proofErr w:type="spellEnd"/>
      <w:r w:rsidRPr="009A5412">
        <w:rPr>
          <w:rFonts w:ascii="Tw Cen MT" w:hAnsi="Tw Cen MT" w:cs="Times New Roman"/>
          <w:bCs/>
          <w:sz w:val="18"/>
          <w:szCs w:val="18"/>
        </w:rPr>
        <w:t xml:space="preserve"> </w:t>
      </w:r>
      <w:proofErr w:type="spellStart"/>
      <w:r w:rsidRPr="009A5412">
        <w:rPr>
          <w:rFonts w:ascii="Tw Cen MT" w:hAnsi="Tw Cen MT" w:cs="Times New Roman"/>
          <w:bCs/>
          <w:sz w:val="18"/>
          <w:szCs w:val="18"/>
        </w:rPr>
        <w:t>Ragavan</w:t>
      </w:r>
      <w:proofErr w:type="spellEnd"/>
      <w:r w:rsidRPr="009A5412">
        <w:rPr>
          <w:rFonts w:ascii="Tw Cen MT" w:hAnsi="Tw Cen MT" w:cs="Times New Roman"/>
          <w:sz w:val="18"/>
          <w:szCs w:val="18"/>
        </w:rPr>
        <w:t>,</w:t>
      </w:r>
      <w:r w:rsidRPr="009A5412">
        <w:rPr>
          <w:rFonts w:ascii="Tw Cen MT" w:hAnsi="Tw Cen MT" w:cs="Times New Roman"/>
          <w:bCs/>
          <w:sz w:val="18"/>
          <w:szCs w:val="18"/>
        </w:rPr>
        <w:t xml:space="preserve"> </w:t>
      </w:r>
      <w:r w:rsidRPr="009A5412">
        <w:rPr>
          <w:rFonts w:ascii="Tw Cen MT" w:hAnsi="Tw Cen MT" w:cs="Times New Roman"/>
          <w:sz w:val="18"/>
          <w:szCs w:val="18"/>
        </w:rPr>
        <w:t xml:space="preserve">Rajesh NG, </w:t>
      </w:r>
      <w:r w:rsidRPr="009A5412">
        <w:rPr>
          <w:rFonts w:ascii="Tw Cen MT" w:hAnsi="Tw Cen MT" w:cs="Times New Roman"/>
          <w:b/>
          <w:bCs/>
          <w:sz w:val="18"/>
          <w:szCs w:val="18"/>
        </w:rPr>
        <w:t>Pragasam V.</w:t>
      </w:r>
      <w:r w:rsidRPr="009A5412">
        <w:rPr>
          <w:rFonts w:ascii="Tw Cen MT" w:hAnsi="Tw Cen MT" w:cs="Times New Roman"/>
          <w:b/>
          <w:sz w:val="18"/>
          <w:szCs w:val="18"/>
        </w:rPr>
        <w:t xml:space="preserve">  </w:t>
      </w:r>
      <w:r w:rsidRPr="009A5412">
        <w:rPr>
          <w:rFonts w:ascii="Tw Cen MT" w:hAnsi="Tw Cen MT" w:cs="Times New Roman"/>
          <w:bCs/>
          <w:sz w:val="18"/>
          <w:szCs w:val="18"/>
        </w:rPr>
        <w:t xml:space="preserve">Enhanced therapeutic potency of </w:t>
      </w:r>
      <w:proofErr w:type="spellStart"/>
      <w:r w:rsidRPr="009A5412">
        <w:rPr>
          <w:rFonts w:ascii="Tw Cen MT" w:hAnsi="Tw Cen MT" w:cs="Times New Roman"/>
          <w:bCs/>
          <w:sz w:val="18"/>
          <w:szCs w:val="18"/>
        </w:rPr>
        <w:t>nanoemulsified</w:t>
      </w:r>
      <w:proofErr w:type="spellEnd"/>
      <w:r w:rsidRPr="009A5412">
        <w:rPr>
          <w:rFonts w:ascii="Tw Cen MT" w:hAnsi="Tw Cen MT" w:cs="Times New Roman"/>
          <w:bCs/>
          <w:sz w:val="18"/>
          <w:szCs w:val="18"/>
        </w:rPr>
        <w:t xml:space="preserve"> garlic oil towards renal abnormalities in pre-diabetic rats. </w:t>
      </w:r>
      <w:proofErr w:type="spellStart"/>
      <w:r w:rsidRPr="009A5412">
        <w:rPr>
          <w:rFonts w:ascii="Tw Cen MT" w:hAnsi="Tw Cen MT" w:cs="Times New Roman"/>
          <w:bCs/>
          <w:sz w:val="18"/>
          <w:szCs w:val="18"/>
        </w:rPr>
        <w:t>Appl</w:t>
      </w:r>
      <w:proofErr w:type="spellEnd"/>
      <w:r w:rsidRPr="009A5412">
        <w:rPr>
          <w:rFonts w:ascii="Tw Cen MT" w:hAnsi="Tw Cen MT" w:cs="Times New Roman"/>
          <w:bCs/>
          <w:sz w:val="18"/>
          <w:szCs w:val="18"/>
        </w:rPr>
        <w:t xml:space="preserve"> </w:t>
      </w:r>
      <w:proofErr w:type="spellStart"/>
      <w:r w:rsidRPr="009A5412">
        <w:rPr>
          <w:rFonts w:ascii="Tw Cen MT" w:hAnsi="Tw Cen MT" w:cs="Times New Roman"/>
          <w:bCs/>
          <w:sz w:val="18"/>
          <w:szCs w:val="18"/>
        </w:rPr>
        <w:t>Biochem</w:t>
      </w:r>
      <w:proofErr w:type="spellEnd"/>
      <w:r w:rsidRPr="009A5412">
        <w:rPr>
          <w:rFonts w:ascii="Tw Cen MT" w:hAnsi="Tw Cen MT" w:cs="Times New Roman"/>
          <w:bCs/>
          <w:sz w:val="18"/>
          <w:szCs w:val="18"/>
        </w:rPr>
        <w:t xml:space="preserve"> </w:t>
      </w:r>
      <w:proofErr w:type="spellStart"/>
      <w:r w:rsidRPr="009A5412">
        <w:rPr>
          <w:rFonts w:ascii="Tw Cen MT" w:hAnsi="Tw Cen MT" w:cs="Times New Roman"/>
          <w:bCs/>
          <w:sz w:val="18"/>
          <w:szCs w:val="18"/>
        </w:rPr>
        <w:t>Biotechnol</w:t>
      </w:r>
      <w:proofErr w:type="spellEnd"/>
      <w:r w:rsidRPr="009A5412">
        <w:rPr>
          <w:rFonts w:ascii="Tw Cen MT" w:hAnsi="Tw Cen MT" w:cs="Times New Roman"/>
          <w:bCs/>
          <w:sz w:val="18"/>
          <w:szCs w:val="18"/>
        </w:rPr>
        <w:t xml:space="preserve">. 2019 Jun;188(2):338-356. </w:t>
      </w:r>
      <w:proofErr w:type="spellStart"/>
      <w:r w:rsidRPr="009A5412">
        <w:rPr>
          <w:rFonts w:ascii="Tw Cen MT" w:hAnsi="Tw Cen MT" w:cs="Times New Roman"/>
          <w:bCs/>
          <w:color w:val="3527E5"/>
          <w:sz w:val="18"/>
          <w:szCs w:val="18"/>
        </w:rPr>
        <w:t>doi</w:t>
      </w:r>
      <w:proofErr w:type="spellEnd"/>
      <w:r w:rsidRPr="009A5412">
        <w:rPr>
          <w:rFonts w:ascii="Tw Cen MT" w:hAnsi="Tw Cen MT" w:cs="Times New Roman"/>
          <w:bCs/>
          <w:color w:val="3527E5"/>
          <w:sz w:val="18"/>
          <w:szCs w:val="18"/>
        </w:rPr>
        <w:t>: 10.1007/s12010-018-2919-8</w:t>
      </w:r>
      <w:r w:rsidRPr="009A5412">
        <w:rPr>
          <w:rFonts w:ascii="Tw Cen MT" w:hAnsi="Tw Cen MT" w:cs="Times New Roman"/>
          <w:bCs/>
          <w:sz w:val="18"/>
          <w:szCs w:val="18"/>
        </w:rPr>
        <w:t>.</w:t>
      </w:r>
    </w:p>
    <w:p w14:paraId="484F89FD" w14:textId="3D63718C" w:rsidR="009A5412" w:rsidRPr="009A5412" w:rsidRDefault="009A5412" w:rsidP="009A5412">
      <w:pPr>
        <w:numPr>
          <w:ilvl w:val="0"/>
          <w:numId w:val="2"/>
        </w:numPr>
        <w:jc w:val="both"/>
        <w:rPr>
          <w:rFonts w:ascii="Tw Cen MT" w:hAnsi="Tw Cen MT"/>
          <w:bCs/>
          <w:sz w:val="18"/>
          <w:szCs w:val="18"/>
        </w:rPr>
      </w:pPr>
      <w:r w:rsidRPr="009A5412">
        <w:rPr>
          <w:rFonts w:ascii="Tw Cen MT" w:hAnsi="Tw Cen MT"/>
          <w:bCs/>
          <w:sz w:val="18"/>
          <w:szCs w:val="18"/>
        </w:rPr>
        <w:t xml:space="preserve">Kumar, S; C, P; Parameswaran, S.; </w:t>
      </w:r>
      <w:proofErr w:type="spellStart"/>
      <w:r w:rsidRPr="009A5412">
        <w:rPr>
          <w:rFonts w:ascii="Tw Cen MT" w:hAnsi="Tw Cen MT"/>
          <w:bCs/>
          <w:sz w:val="18"/>
          <w:szCs w:val="18"/>
        </w:rPr>
        <w:t>Shewade</w:t>
      </w:r>
      <w:proofErr w:type="spellEnd"/>
      <w:r w:rsidRPr="009A5412">
        <w:rPr>
          <w:rFonts w:ascii="Tw Cen MT" w:hAnsi="Tw Cen MT"/>
          <w:bCs/>
          <w:sz w:val="18"/>
          <w:szCs w:val="18"/>
        </w:rPr>
        <w:t xml:space="preserve">, D.; </w:t>
      </w:r>
      <w:r w:rsidRPr="009A5412">
        <w:rPr>
          <w:rFonts w:ascii="Tw Cen MT" w:hAnsi="Tw Cen MT"/>
          <w:b/>
          <w:sz w:val="18"/>
          <w:szCs w:val="18"/>
        </w:rPr>
        <w:t>Viswanathan, P</w:t>
      </w:r>
      <w:r w:rsidRPr="009A5412">
        <w:rPr>
          <w:rFonts w:ascii="Tw Cen MT" w:hAnsi="Tw Cen MT"/>
          <w:bCs/>
          <w:sz w:val="18"/>
          <w:szCs w:val="18"/>
        </w:rPr>
        <w:t>.; Ganesh, R. miR-148b Differentiates Tubular Atrophy/Interstitial Fibrosis Histopathological Stages in IgA Nephropathy. Preprints 2020, 2020060049 (</w:t>
      </w:r>
      <w:proofErr w:type="spellStart"/>
      <w:r w:rsidRPr="009A5412">
        <w:rPr>
          <w:rFonts w:ascii="Tw Cen MT" w:hAnsi="Tw Cen MT"/>
          <w:bCs/>
          <w:color w:val="3527E5"/>
          <w:sz w:val="18"/>
          <w:szCs w:val="18"/>
          <w:u w:val="single"/>
        </w:rPr>
        <w:t>doi</w:t>
      </w:r>
      <w:proofErr w:type="spellEnd"/>
      <w:r w:rsidRPr="009A5412">
        <w:rPr>
          <w:rFonts w:ascii="Tw Cen MT" w:hAnsi="Tw Cen MT"/>
          <w:bCs/>
          <w:color w:val="3527E5"/>
          <w:sz w:val="18"/>
          <w:szCs w:val="18"/>
          <w:u w:val="single"/>
        </w:rPr>
        <w:t>: 10.20944/preprints</w:t>
      </w:r>
      <w:proofErr w:type="gramStart"/>
      <w:r w:rsidRPr="009A5412">
        <w:rPr>
          <w:rFonts w:ascii="Tw Cen MT" w:hAnsi="Tw Cen MT"/>
          <w:bCs/>
          <w:color w:val="3527E5"/>
          <w:sz w:val="18"/>
          <w:szCs w:val="18"/>
          <w:u w:val="single"/>
        </w:rPr>
        <w:t>202006.0049.v</w:t>
      </w:r>
      <w:proofErr w:type="gramEnd"/>
      <w:r w:rsidRPr="009A5412">
        <w:rPr>
          <w:rFonts w:ascii="Tw Cen MT" w:hAnsi="Tw Cen MT"/>
          <w:bCs/>
          <w:color w:val="3527E5"/>
          <w:sz w:val="18"/>
          <w:szCs w:val="18"/>
          <w:u w:val="single"/>
        </w:rPr>
        <w:t>1</w:t>
      </w:r>
      <w:r w:rsidRPr="009A5412">
        <w:rPr>
          <w:rFonts w:ascii="Tw Cen MT" w:hAnsi="Tw Cen MT"/>
          <w:bCs/>
          <w:sz w:val="18"/>
          <w:szCs w:val="18"/>
        </w:rPr>
        <w:t>).</w:t>
      </w:r>
    </w:p>
    <w:p w14:paraId="2B07D809" w14:textId="66F79261" w:rsidR="009A5412" w:rsidRPr="009A5412" w:rsidRDefault="009A5412" w:rsidP="009A5412">
      <w:pPr>
        <w:ind w:left="720"/>
        <w:jc w:val="both"/>
        <w:rPr>
          <w:rFonts w:ascii="Tw Cen MT" w:hAnsi="Tw Cen MT"/>
          <w:bCs/>
          <w:sz w:val="18"/>
          <w:szCs w:val="18"/>
        </w:rPr>
      </w:pPr>
    </w:p>
    <w:p w14:paraId="42B78D85" w14:textId="77777777" w:rsidR="009A5412" w:rsidRPr="009A5412" w:rsidRDefault="009A5412" w:rsidP="009A5412">
      <w:pPr>
        <w:ind w:left="720"/>
        <w:jc w:val="both"/>
        <w:rPr>
          <w:rFonts w:ascii="Tw Cen MT" w:hAnsi="Tw Cen MT"/>
          <w:bCs/>
          <w:sz w:val="18"/>
          <w:szCs w:val="18"/>
        </w:rPr>
      </w:pPr>
    </w:p>
    <w:p w14:paraId="7B45E306" w14:textId="77777777" w:rsidR="009A5412" w:rsidRPr="009A5412" w:rsidRDefault="009A5412" w:rsidP="009A5412">
      <w:pPr>
        <w:pStyle w:val="ListParagraph"/>
        <w:spacing w:after="0" w:line="240" w:lineRule="auto"/>
        <w:jc w:val="both"/>
        <w:rPr>
          <w:rStyle w:val="Hyperlink"/>
          <w:rFonts w:ascii="Times New Roman" w:hAnsi="Times New Roman" w:cs="Times New Roman"/>
          <w:bCs/>
          <w:color w:val="auto"/>
          <w:sz w:val="18"/>
          <w:szCs w:val="18"/>
          <w:u w:val="none"/>
        </w:rPr>
      </w:pPr>
    </w:p>
    <w:p w14:paraId="7E99480E" w14:textId="77777777" w:rsidR="009A5412" w:rsidRDefault="009A5412" w:rsidP="009A5412">
      <w:pPr>
        <w:jc w:val="both"/>
        <w:rPr>
          <w:bCs/>
          <w:sz w:val="18"/>
          <w:szCs w:val="18"/>
        </w:rPr>
      </w:pPr>
    </w:p>
    <w:p w14:paraId="6F952AC0" w14:textId="1B8B19D5" w:rsidR="009A5412" w:rsidRPr="009A5412" w:rsidRDefault="009A5412" w:rsidP="009A5412">
      <w:pPr>
        <w:pStyle w:val="ListParagraph"/>
        <w:numPr>
          <w:ilvl w:val="0"/>
          <w:numId w:val="2"/>
        </w:numPr>
        <w:spacing w:after="0" w:line="240" w:lineRule="auto"/>
        <w:jc w:val="both"/>
        <w:rPr>
          <w:rFonts w:ascii="Times New Roman" w:hAnsi="Times New Roman" w:cs="Times New Roman"/>
          <w:bCs/>
          <w:sz w:val="18"/>
          <w:szCs w:val="18"/>
        </w:rPr>
        <w:sectPr w:rsidR="009A5412" w:rsidRPr="009A5412" w:rsidSect="00A875D3">
          <w:type w:val="continuous"/>
          <w:pgSz w:w="11906" w:h="16838"/>
          <w:pgMar w:top="1440" w:right="1440" w:bottom="1440" w:left="1440" w:header="708" w:footer="708" w:gutter="0"/>
          <w:cols w:num="2" w:space="708"/>
          <w:docGrid w:linePitch="360"/>
        </w:sectPr>
      </w:pPr>
    </w:p>
    <w:p w14:paraId="317FA8AB" w14:textId="48928639" w:rsidR="00A875D3" w:rsidRDefault="00A875D3" w:rsidP="00A875D3">
      <w:pPr>
        <w:spacing w:line="480" w:lineRule="auto"/>
        <w:ind w:left="-57"/>
        <w:rPr>
          <w:bCs/>
        </w:rPr>
      </w:pPr>
    </w:p>
    <w:p w14:paraId="6662A630" w14:textId="01459D57" w:rsidR="009A5412" w:rsidRDefault="009A5412" w:rsidP="00A875D3">
      <w:pPr>
        <w:spacing w:line="480" w:lineRule="auto"/>
        <w:ind w:left="-57"/>
        <w:rPr>
          <w:bCs/>
        </w:rPr>
      </w:pPr>
    </w:p>
    <w:p w14:paraId="66B1B0BA" w14:textId="49D5AA29" w:rsidR="002F439A" w:rsidRDefault="002F439A" w:rsidP="00A875D3">
      <w:pPr>
        <w:spacing w:line="480" w:lineRule="auto"/>
        <w:ind w:left="-57"/>
        <w:rPr>
          <w:bCs/>
        </w:rPr>
      </w:pPr>
    </w:p>
    <w:p w14:paraId="24EDBCFD" w14:textId="77777777" w:rsidR="002F439A" w:rsidRPr="000041BB" w:rsidRDefault="002F439A" w:rsidP="00A875D3">
      <w:pPr>
        <w:spacing w:line="480" w:lineRule="auto"/>
        <w:ind w:left="-57"/>
        <w:rPr>
          <w:bCs/>
        </w:rPr>
      </w:pPr>
    </w:p>
    <w:p w14:paraId="716AA561" w14:textId="77777777" w:rsidR="00A875D3" w:rsidRPr="004C18F3" w:rsidRDefault="00A875D3" w:rsidP="00A875D3">
      <w:pPr>
        <w:spacing w:line="480" w:lineRule="auto"/>
        <w:jc w:val="center"/>
        <w:rPr>
          <w:b/>
        </w:rPr>
      </w:pPr>
    </w:p>
    <w:p w14:paraId="6F48BEFE" w14:textId="77777777" w:rsidR="00A875D3" w:rsidRDefault="00A875D3"/>
    <w:sectPr w:rsidR="00A875D3" w:rsidSect="00A875D3">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igh Tower Text">
    <w:panose1 w:val="02040502050506030303"/>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79246B"/>
    <w:multiLevelType w:val="hybridMultilevel"/>
    <w:tmpl w:val="724A098E"/>
    <w:lvl w:ilvl="0" w:tplc="70CCB934">
      <w:start w:val="1"/>
      <w:numFmt w:val="decimal"/>
      <w:lvlText w:val="%1."/>
      <w:lvlJc w:val="left"/>
      <w:pPr>
        <w:ind w:left="720" w:hanging="360"/>
      </w:pPr>
      <w:rPr>
        <w:rFonts w:ascii="High Tower Text" w:hAnsi="High Tower Text"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B61661F"/>
    <w:multiLevelType w:val="hybridMultilevel"/>
    <w:tmpl w:val="0CF092C0"/>
    <w:lvl w:ilvl="0" w:tplc="73F26D94">
      <w:start w:val="1"/>
      <w:numFmt w:val="decimal"/>
      <w:lvlText w:val="%1."/>
      <w:lvlJc w:val="left"/>
      <w:pPr>
        <w:tabs>
          <w:tab w:val="num" w:pos="720"/>
        </w:tabs>
        <w:ind w:left="720" w:hanging="360"/>
      </w:pPr>
      <w:rPr>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5D3"/>
    <w:rsid w:val="001F73D2"/>
    <w:rsid w:val="002F439A"/>
    <w:rsid w:val="009A5412"/>
    <w:rsid w:val="00A875D3"/>
    <w:rsid w:val="00D85D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1A711"/>
  <w15:chartTrackingRefBased/>
  <w15:docId w15:val="{19D0ED68-3FE2-4C47-B961-7B6BC7C83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39A"/>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875D3"/>
    <w:rPr>
      <w:color w:val="0000FF"/>
      <w:u w:val="single"/>
    </w:rPr>
  </w:style>
  <w:style w:type="paragraph" w:styleId="ListParagraph">
    <w:name w:val="List Paragraph"/>
    <w:basedOn w:val="Normal"/>
    <w:uiPriority w:val="34"/>
    <w:qFormat/>
    <w:rsid w:val="00A875D3"/>
    <w:pPr>
      <w:spacing w:after="160" w:line="259" w:lineRule="auto"/>
      <w:ind w:left="720"/>
      <w:contextualSpacing/>
    </w:pPr>
    <w:rPr>
      <w:rFonts w:asciiTheme="minorHAnsi" w:eastAsiaTheme="minorHAnsi" w:hAnsiTheme="minorHAnsi" w:cstheme="minorBidi"/>
      <w:sz w:val="22"/>
      <w:szCs w:val="22"/>
      <w:lang w:val="en-IN" w:eastAsia="en-US"/>
    </w:rPr>
  </w:style>
  <w:style w:type="character" w:styleId="UnresolvedMention">
    <w:name w:val="Unresolved Mention"/>
    <w:basedOn w:val="DefaultParagraphFont"/>
    <w:uiPriority w:val="99"/>
    <w:semiHidden/>
    <w:unhideWhenUsed/>
    <w:rsid w:val="00A87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74/1573408016999200415115754" TargetMode="External"/><Relationship Id="rId3" Type="http://schemas.openxmlformats.org/officeDocument/2006/relationships/settings" Target="settings.xml"/><Relationship Id="rId7" Type="http://schemas.openxmlformats.org/officeDocument/2006/relationships/hyperlink" Target="https://doi.org/10.1007/s13205-020-02262-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1535370220946271"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Pragasam V</dc:creator>
  <cp:keywords/>
  <dc:description/>
  <cp:lastModifiedBy>Pragasam V</cp:lastModifiedBy>
  <cp:revision>5</cp:revision>
  <dcterms:created xsi:type="dcterms:W3CDTF">2020-10-26T05:14:00Z</dcterms:created>
  <dcterms:modified xsi:type="dcterms:W3CDTF">2020-10-26T05:42:00Z</dcterms:modified>
</cp:coreProperties>
</file>