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FD0" w:rsidRPr="00CF3FD0" w:rsidRDefault="00CF3FD0" w:rsidP="00CF3FD0">
      <w:pPr>
        <w:jc w:val="center"/>
        <w:rPr>
          <w:rFonts w:asciiTheme="minorBidi" w:hAnsiTheme="minorBidi"/>
          <w:sz w:val="36"/>
          <w:szCs w:val="36"/>
          <w:u w:val="single"/>
        </w:rPr>
      </w:pPr>
      <w:r>
        <w:rPr>
          <w:rFonts w:asciiTheme="minorBidi" w:hAnsiTheme="minorBidi"/>
          <w:sz w:val="36"/>
          <w:szCs w:val="36"/>
          <w:u w:val="single"/>
        </w:rPr>
        <w:t>Abstract</w:t>
      </w:r>
    </w:p>
    <w:p w:rsidR="00CF3FD0" w:rsidRPr="004274E8" w:rsidRDefault="00CF3FD0" w:rsidP="00CF3FD0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274E8">
        <w:rPr>
          <w:rFonts w:asciiTheme="minorBidi" w:hAnsiTheme="minorBidi"/>
          <w:b/>
          <w:bCs/>
          <w:i/>
          <w:iCs/>
          <w:noProof/>
          <w:sz w:val="24"/>
          <w:szCs w:val="24"/>
          <w:u w:val="single"/>
        </w:rPr>
        <w:t>Background</w:t>
      </w:r>
      <w:r w:rsidRPr="004274E8">
        <w:rPr>
          <w:rFonts w:asciiTheme="minorBidi" w:hAnsiTheme="minorBidi"/>
          <w:b/>
          <w:bCs/>
          <w:i/>
          <w:iCs/>
          <w:noProof/>
          <w:sz w:val="24"/>
          <w:szCs w:val="24"/>
        </w:rPr>
        <w:t xml:space="preserve">: </w:t>
      </w:r>
      <w:r w:rsidRPr="004274E8">
        <w:rPr>
          <w:rFonts w:asciiTheme="minorBidi" w:hAnsiTheme="minorBidi"/>
          <w:noProof/>
          <w:sz w:val="24"/>
          <w:szCs w:val="24"/>
        </w:rPr>
        <w:t xml:space="preserve">Atypical Hemolytic uremic syndrome (aHUS) is characterized by </w:t>
      </w:r>
      <w:r w:rsidRPr="004274E8">
        <w:rPr>
          <w:rFonts w:asciiTheme="minorBidi" w:hAnsiTheme="minorBidi"/>
          <w:sz w:val="24"/>
          <w:szCs w:val="24"/>
        </w:rPr>
        <w:t xml:space="preserve">microangiopathy hemolytic anemia, </w:t>
      </w:r>
      <w:r w:rsidRPr="004274E8">
        <w:rPr>
          <w:rFonts w:asciiTheme="minorBidi" w:hAnsiTheme="minorBidi"/>
          <w:noProof/>
          <w:sz w:val="24"/>
          <w:szCs w:val="24"/>
        </w:rPr>
        <w:t>thrombocytopenia and</w:t>
      </w:r>
      <w:r w:rsidRPr="004274E8">
        <w:rPr>
          <w:rFonts w:asciiTheme="minorBidi" w:hAnsiTheme="minorBidi"/>
          <w:sz w:val="24"/>
          <w:szCs w:val="24"/>
        </w:rPr>
        <w:t xml:space="preserve"> renal </w:t>
      </w:r>
      <w:r w:rsidRPr="004274E8">
        <w:rPr>
          <w:rFonts w:asciiTheme="minorBidi" w:hAnsiTheme="minorBidi"/>
          <w:noProof/>
          <w:sz w:val="24"/>
          <w:szCs w:val="24"/>
        </w:rPr>
        <w:t>impairment.</w:t>
      </w:r>
      <w:r w:rsidRPr="004274E8">
        <w:rPr>
          <w:rFonts w:asciiTheme="minorBidi" w:hAnsiTheme="minorBidi"/>
          <w:sz w:val="24"/>
          <w:szCs w:val="24"/>
        </w:rPr>
        <w:t xml:space="preserve"> Genetic defects that determine uncontrolled activation of the alternative complement pathway have been well documented and account for about 40%–60% of the cases worldwide. In Saudi </w:t>
      </w:r>
      <w:r w:rsidRPr="004274E8">
        <w:rPr>
          <w:rFonts w:asciiTheme="minorBidi" w:hAnsiTheme="minorBidi"/>
          <w:noProof/>
          <w:sz w:val="24"/>
          <w:szCs w:val="24"/>
        </w:rPr>
        <w:t>Arabia,</w:t>
      </w:r>
      <w:r w:rsidRPr="004274E8">
        <w:rPr>
          <w:rFonts w:asciiTheme="minorBidi" w:hAnsiTheme="minorBidi"/>
          <w:sz w:val="24"/>
          <w:szCs w:val="24"/>
        </w:rPr>
        <w:t xml:space="preserve"> there is up to 56% of </w:t>
      </w:r>
      <w:r w:rsidRPr="004274E8">
        <w:rPr>
          <w:rFonts w:asciiTheme="minorBidi" w:hAnsiTheme="minorBidi"/>
          <w:noProof/>
          <w:sz w:val="24"/>
          <w:szCs w:val="24"/>
        </w:rPr>
        <w:t>consanguineous</w:t>
      </w:r>
      <w:r w:rsidRPr="004274E8">
        <w:rPr>
          <w:rFonts w:asciiTheme="minorBidi" w:hAnsiTheme="minorBidi"/>
          <w:sz w:val="24"/>
          <w:szCs w:val="24"/>
        </w:rPr>
        <w:t xml:space="preserve"> marriages resulting in higher prevalence of genetic diseases including aHUS. Recent studies have demonstrated </w:t>
      </w:r>
      <w:r w:rsidRPr="004274E8">
        <w:rPr>
          <w:rFonts w:asciiTheme="minorBidi" w:hAnsiTheme="minorBidi"/>
          <w:noProof/>
          <w:sz w:val="24"/>
          <w:szCs w:val="24"/>
        </w:rPr>
        <w:t>the effectiveness</w:t>
      </w:r>
      <w:r w:rsidRPr="004274E8">
        <w:rPr>
          <w:rFonts w:asciiTheme="minorBidi" w:hAnsiTheme="minorBidi"/>
          <w:sz w:val="24"/>
          <w:szCs w:val="24"/>
        </w:rPr>
        <w:t xml:space="preserve"> of Eculizumab in aHUS </w:t>
      </w:r>
      <w:r w:rsidRPr="004274E8">
        <w:rPr>
          <w:rFonts w:asciiTheme="minorBidi" w:hAnsiTheme="minorBidi"/>
          <w:noProof/>
          <w:sz w:val="24"/>
          <w:szCs w:val="24"/>
        </w:rPr>
        <w:t>treatment.</w:t>
      </w:r>
    </w:p>
    <w:p w:rsidR="00CF3FD0" w:rsidRPr="004274E8" w:rsidRDefault="00CF3FD0" w:rsidP="00CF3FD0">
      <w:pPr>
        <w:ind w:left="720"/>
        <w:rPr>
          <w:rFonts w:asciiTheme="minorBidi" w:hAnsiTheme="minorBidi"/>
          <w:sz w:val="24"/>
          <w:szCs w:val="24"/>
          <w:lang w:val="it-IT"/>
        </w:rPr>
      </w:pPr>
      <w:r w:rsidRPr="004274E8">
        <w:rPr>
          <w:rFonts w:asciiTheme="minorBidi" w:hAnsiTheme="minorBidi"/>
          <w:sz w:val="24"/>
          <w:szCs w:val="24"/>
        </w:rPr>
        <w:t xml:space="preserve">We are reporting the experience of a tertiary care center in Saudi </w:t>
      </w:r>
      <w:r w:rsidRPr="004274E8">
        <w:rPr>
          <w:rFonts w:asciiTheme="minorBidi" w:hAnsiTheme="minorBidi"/>
          <w:noProof/>
          <w:sz w:val="24"/>
          <w:szCs w:val="24"/>
        </w:rPr>
        <w:t>Arabia</w:t>
      </w:r>
      <w:r w:rsidRPr="004274E8">
        <w:rPr>
          <w:rFonts w:asciiTheme="minorBidi" w:hAnsiTheme="minorBidi"/>
          <w:sz w:val="24"/>
          <w:szCs w:val="24"/>
        </w:rPr>
        <w:t xml:space="preserve"> for children with aHUS who </w:t>
      </w:r>
      <w:r w:rsidRPr="004274E8">
        <w:rPr>
          <w:rFonts w:asciiTheme="minorBidi" w:hAnsiTheme="minorBidi"/>
          <w:noProof/>
          <w:sz w:val="24"/>
          <w:szCs w:val="24"/>
        </w:rPr>
        <w:t>were treated</w:t>
      </w:r>
      <w:r w:rsidRPr="004274E8">
        <w:rPr>
          <w:rFonts w:asciiTheme="minorBidi" w:hAnsiTheme="minorBidi"/>
          <w:sz w:val="24"/>
          <w:szCs w:val="24"/>
        </w:rPr>
        <w:t xml:space="preserve"> with plasma therapy and or Eculizumab </w:t>
      </w:r>
      <w:r w:rsidRPr="004274E8">
        <w:rPr>
          <w:rFonts w:asciiTheme="minorBidi" w:hAnsiTheme="minorBidi"/>
          <w:noProof/>
          <w:sz w:val="24"/>
          <w:szCs w:val="24"/>
        </w:rPr>
        <w:t>compairing</w:t>
      </w:r>
      <w:r w:rsidRPr="004274E8">
        <w:rPr>
          <w:rFonts w:asciiTheme="minorBidi" w:hAnsiTheme="minorBidi"/>
          <w:sz w:val="24"/>
          <w:szCs w:val="24"/>
        </w:rPr>
        <w:t xml:space="preserve"> their clinical </w:t>
      </w:r>
      <w:r w:rsidRPr="004274E8">
        <w:rPr>
          <w:rFonts w:asciiTheme="minorBidi" w:hAnsiTheme="minorBidi"/>
          <w:noProof/>
          <w:sz w:val="24"/>
          <w:szCs w:val="24"/>
        </w:rPr>
        <w:t>characteristics</w:t>
      </w:r>
      <w:r w:rsidRPr="004274E8">
        <w:rPr>
          <w:rFonts w:asciiTheme="minorBidi" w:hAnsiTheme="minorBidi"/>
          <w:sz w:val="24"/>
          <w:szCs w:val="24"/>
        </w:rPr>
        <w:t xml:space="preserve">, genetic </w:t>
      </w:r>
      <w:r>
        <w:rPr>
          <w:rFonts w:asciiTheme="minorBidi" w:hAnsiTheme="minorBidi"/>
          <w:sz w:val="24"/>
          <w:szCs w:val="24"/>
        </w:rPr>
        <w:t xml:space="preserve">mutations </w:t>
      </w:r>
      <w:r w:rsidRPr="004274E8">
        <w:rPr>
          <w:rFonts w:asciiTheme="minorBidi" w:hAnsiTheme="minorBidi"/>
          <w:sz w:val="24"/>
          <w:szCs w:val="24"/>
        </w:rPr>
        <w:t xml:space="preserve">and </w:t>
      </w:r>
      <w:r w:rsidRPr="004274E8">
        <w:rPr>
          <w:rFonts w:asciiTheme="minorBidi" w:hAnsiTheme="minorBidi"/>
          <w:noProof/>
          <w:sz w:val="24"/>
          <w:szCs w:val="24"/>
        </w:rPr>
        <w:t>outcome</w:t>
      </w:r>
      <w:r w:rsidRPr="004274E8">
        <w:rPr>
          <w:rFonts w:asciiTheme="minorBidi" w:hAnsiTheme="minorBidi"/>
          <w:sz w:val="24"/>
          <w:szCs w:val="24"/>
        </w:rPr>
        <w:t xml:space="preserve">. </w:t>
      </w:r>
      <w:r w:rsidRPr="004274E8">
        <w:rPr>
          <w:rFonts w:asciiTheme="minorBidi" w:hAnsiTheme="minorBidi"/>
          <w:b/>
          <w:bCs/>
          <w:i/>
          <w:iCs/>
          <w:noProof/>
          <w:sz w:val="24"/>
          <w:szCs w:val="24"/>
        </w:rPr>
        <w:t xml:space="preserve">Methods: </w:t>
      </w:r>
      <w:r w:rsidRPr="004274E8">
        <w:rPr>
          <w:rFonts w:asciiTheme="minorBidi" w:hAnsiTheme="minorBidi"/>
          <w:noProof/>
          <w:sz w:val="24"/>
          <w:szCs w:val="24"/>
        </w:rPr>
        <w:t>A retrospective study was done for the period from  January</w:t>
      </w:r>
      <w:r w:rsidRPr="004274E8">
        <w:rPr>
          <w:rFonts w:asciiTheme="minorBidi" w:hAnsiTheme="minorBidi"/>
          <w:sz w:val="24"/>
          <w:szCs w:val="24"/>
        </w:rPr>
        <w:t xml:space="preserve"> 2010 </w:t>
      </w:r>
      <w:r w:rsidRPr="004274E8">
        <w:rPr>
          <w:rFonts w:asciiTheme="minorBidi" w:hAnsiTheme="minorBidi"/>
          <w:noProof/>
          <w:sz w:val="24"/>
          <w:szCs w:val="24"/>
        </w:rPr>
        <w:t>until</w:t>
      </w:r>
      <w:r w:rsidRPr="004274E8">
        <w:rPr>
          <w:rFonts w:asciiTheme="minorBidi" w:hAnsiTheme="minorBidi"/>
          <w:sz w:val="24"/>
          <w:szCs w:val="24"/>
        </w:rPr>
        <w:t xml:space="preserve"> May 2017. The data </w:t>
      </w:r>
      <w:r w:rsidRPr="004274E8">
        <w:rPr>
          <w:rFonts w:asciiTheme="minorBidi" w:hAnsiTheme="minorBidi"/>
          <w:noProof/>
          <w:sz w:val="24"/>
          <w:szCs w:val="24"/>
        </w:rPr>
        <w:t>was obtained</w:t>
      </w:r>
      <w:r w:rsidRPr="004274E8">
        <w:rPr>
          <w:rFonts w:asciiTheme="minorBidi" w:hAnsiTheme="minorBidi"/>
          <w:sz w:val="24"/>
          <w:szCs w:val="24"/>
        </w:rPr>
        <w:t xml:space="preserve"> from the electronic medical records for all eligible patients including </w:t>
      </w:r>
      <w:r w:rsidRPr="004274E8">
        <w:rPr>
          <w:rFonts w:asciiTheme="minorBidi" w:hAnsiTheme="minorBidi"/>
          <w:noProof/>
          <w:sz w:val="24"/>
          <w:szCs w:val="24"/>
        </w:rPr>
        <w:t>demographic parameters</w:t>
      </w:r>
      <w:r w:rsidRPr="004274E8">
        <w:rPr>
          <w:rFonts w:asciiTheme="minorBidi" w:hAnsiTheme="minorBidi"/>
          <w:sz w:val="24"/>
          <w:szCs w:val="24"/>
        </w:rPr>
        <w:t xml:space="preserve">, clinical presentation, </w:t>
      </w:r>
      <w:r w:rsidRPr="004274E8">
        <w:rPr>
          <w:rFonts w:asciiTheme="minorBidi" w:hAnsiTheme="minorBidi"/>
          <w:noProof/>
          <w:sz w:val="24"/>
          <w:szCs w:val="24"/>
        </w:rPr>
        <w:t>length</w:t>
      </w:r>
      <w:r w:rsidRPr="004274E8">
        <w:rPr>
          <w:rFonts w:asciiTheme="minorBidi" w:hAnsiTheme="minorBidi"/>
          <w:sz w:val="24"/>
          <w:szCs w:val="24"/>
        </w:rPr>
        <w:t xml:space="preserve"> of hospital stay, need for dialysis, renal </w:t>
      </w:r>
      <w:r w:rsidRPr="004274E8">
        <w:rPr>
          <w:rFonts w:asciiTheme="minorBidi" w:hAnsiTheme="minorBidi"/>
          <w:noProof/>
          <w:sz w:val="24"/>
          <w:szCs w:val="24"/>
        </w:rPr>
        <w:t xml:space="preserve">recovery </w:t>
      </w:r>
      <w:r>
        <w:rPr>
          <w:rFonts w:asciiTheme="minorBidi" w:hAnsiTheme="minorBidi"/>
          <w:noProof/>
          <w:sz w:val="24"/>
          <w:szCs w:val="24"/>
        </w:rPr>
        <w:t>,</w:t>
      </w:r>
      <w:r w:rsidRPr="004274E8">
        <w:rPr>
          <w:rFonts w:asciiTheme="minorBidi" w:hAnsiTheme="minorBidi"/>
          <w:sz w:val="24"/>
          <w:szCs w:val="24"/>
        </w:rPr>
        <w:t xml:space="preserve"> genetic mutations</w:t>
      </w:r>
      <w:r>
        <w:rPr>
          <w:rFonts w:asciiTheme="minorBidi" w:hAnsiTheme="minorBidi"/>
          <w:sz w:val="24"/>
          <w:szCs w:val="24"/>
        </w:rPr>
        <w:t xml:space="preserve"> </w:t>
      </w:r>
      <w:r w:rsidRPr="004274E8">
        <w:rPr>
          <w:rFonts w:asciiTheme="minorBidi" w:hAnsiTheme="minorBidi"/>
          <w:sz w:val="24"/>
          <w:szCs w:val="24"/>
        </w:rPr>
        <w:t xml:space="preserve">and </w:t>
      </w:r>
      <w:r w:rsidRPr="004274E8">
        <w:rPr>
          <w:rFonts w:asciiTheme="minorBidi" w:hAnsiTheme="minorBidi"/>
          <w:noProof/>
          <w:sz w:val="24"/>
          <w:szCs w:val="24"/>
        </w:rPr>
        <w:t>outcome</w:t>
      </w:r>
      <w:r w:rsidRPr="004274E8">
        <w:rPr>
          <w:rFonts w:asciiTheme="minorBidi" w:hAnsiTheme="minorBidi"/>
          <w:sz w:val="24"/>
          <w:szCs w:val="24"/>
        </w:rPr>
        <w:t xml:space="preserve">. </w:t>
      </w:r>
      <w:r w:rsidRPr="004274E8">
        <w:rPr>
          <w:rFonts w:asciiTheme="minorBidi" w:hAnsiTheme="minorBidi"/>
          <w:b/>
          <w:bCs/>
          <w:i/>
          <w:iCs/>
          <w:sz w:val="24"/>
          <w:szCs w:val="24"/>
        </w:rPr>
        <w:t xml:space="preserve">Results:   </w:t>
      </w:r>
      <w:r w:rsidRPr="004274E8">
        <w:rPr>
          <w:rFonts w:asciiTheme="minorBidi" w:hAnsiTheme="minorBidi"/>
          <w:sz w:val="24"/>
          <w:szCs w:val="24"/>
          <w:lang w:val="it-IT"/>
        </w:rPr>
        <w:t xml:space="preserve">A totalof 21 children with aHUS </w:t>
      </w:r>
      <w:r w:rsidRPr="004274E8">
        <w:rPr>
          <w:rFonts w:asciiTheme="minorBidi" w:hAnsiTheme="minorBidi"/>
          <w:noProof/>
          <w:sz w:val="24"/>
          <w:szCs w:val="24"/>
          <w:lang w:val="it-IT"/>
        </w:rPr>
        <w:t>were included</w:t>
      </w:r>
      <w:r w:rsidRPr="004274E8">
        <w:rPr>
          <w:rFonts w:asciiTheme="minorBidi" w:hAnsiTheme="minorBidi"/>
          <w:sz w:val="24"/>
          <w:szCs w:val="24"/>
          <w:lang w:val="it-IT"/>
        </w:rPr>
        <w:t xml:space="preserve"> in the study</w:t>
      </w:r>
      <w:r w:rsidRPr="004274E8">
        <w:rPr>
          <w:rFonts w:asciiTheme="minorBidi" w:hAnsiTheme="minorBidi"/>
          <w:sz w:val="24"/>
          <w:szCs w:val="24"/>
        </w:rPr>
        <w:t>. Fourteen of them</w:t>
      </w:r>
      <w:r w:rsidRPr="004274E8">
        <w:rPr>
          <w:rFonts w:asciiTheme="minorBidi" w:hAnsiTheme="minorBidi"/>
          <w:sz w:val="24"/>
          <w:szCs w:val="24"/>
          <w:lang w:val="it-IT"/>
        </w:rPr>
        <w:t xml:space="preserve"> (66.7%) showed both renal and hematologic recovery; (64.3%) in the Eculizumab group versus (35.7 %) in plasma therapy group. Seven cases (33.3 %) reached End Stage Renal Disease (ESRD), four of them (57.1 %) from the plasma therapy group and three patients (42.9%) from Eculizumab group whose genetic mutations were not related to complement dysregulation system.Recurrence did not occur in patients on Eculizumab therapy but in 33.3% of childern who </w:t>
      </w:r>
      <w:r w:rsidRPr="004274E8">
        <w:rPr>
          <w:rFonts w:asciiTheme="minorBidi" w:hAnsiTheme="minorBidi"/>
          <w:noProof/>
          <w:sz w:val="24"/>
          <w:szCs w:val="24"/>
          <w:lang w:val="it-IT"/>
        </w:rPr>
        <w:t xml:space="preserve">received plasma therapy. </w:t>
      </w:r>
      <w:r w:rsidRPr="004274E8">
        <w:rPr>
          <w:rFonts w:asciiTheme="minorBidi" w:hAnsiTheme="minorBidi"/>
          <w:sz w:val="24"/>
          <w:szCs w:val="24"/>
          <w:lang w:val="it-IT"/>
        </w:rPr>
        <w:t>El</w:t>
      </w:r>
      <w:r>
        <w:rPr>
          <w:rFonts w:asciiTheme="minorBidi" w:hAnsiTheme="minorBidi"/>
          <w:sz w:val="24"/>
          <w:szCs w:val="24"/>
          <w:lang w:val="it-IT"/>
        </w:rPr>
        <w:t>e</w:t>
      </w:r>
      <w:r w:rsidRPr="004274E8">
        <w:rPr>
          <w:rFonts w:asciiTheme="minorBidi" w:hAnsiTheme="minorBidi"/>
          <w:sz w:val="24"/>
          <w:szCs w:val="24"/>
          <w:lang w:val="it-IT"/>
        </w:rPr>
        <w:t>ven of 1</w:t>
      </w:r>
      <w:r>
        <w:rPr>
          <w:rFonts w:asciiTheme="minorBidi" w:hAnsiTheme="minorBidi"/>
          <w:sz w:val="24"/>
          <w:szCs w:val="24"/>
          <w:lang w:val="it-IT"/>
        </w:rPr>
        <w:t>6</w:t>
      </w:r>
      <w:r w:rsidRPr="004274E8">
        <w:rPr>
          <w:rFonts w:asciiTheme="minorBidi" w:hAnsiTheme="minorBidi"/>
          <w:sz w:val="24"/>
          <w:szCs w:val="24"/>
          <w:lang w:val="it-IT"/>
        </w:rPr>
        <w:t xml:space="preserve"> cases (</w:t>
      </w:r>
      <w:r>
        <w:rPr>
          <w:rFonts w:asciiTheme="minorBidi" w:hAnsiTheme="minorBidi"/>
          <w:sz w:val="24"/>
          <w:szCs w:val="24"/>
          <w:lang w:val="it-IT"/>
        </w:rPr>
        <w:t>69</w:t>
      </w:r>
      <w:r w:rsidRPr="004274E8">
        <w:rPr>
          <w:rFonts w:asciiTheme="minorBidi" w:hAnsiTheme="minorBidi"/>
          <w:sz w:val="24"/>
          <w:szCs w:val="24"/>
          <w:lang w:val="it-IT"/>
        </w:rPr>
        <w:t>%) were identified to have gen</w:t>
      </w:r>
      <w:r>
        <w:rPr>
          <w:rFonts w:asciiTheme="minorBidi" w:hAnsiTheme="minorBidi"/>
          <w:sz w:val="24"/>
          <w:szCs w:val="24"/>
          <w:lang w:val="it-IT"/>
        </w:rPr>
        <w:t xml:space="preserve">etic </w:t>
      </w:r>
      <w:r w:rsidRPr="004274E8">
        <w:rPr>
          <w:rFonts w:asciiTheme="minorBidi" w:hAnsiTheme="minorBidi"/>
          <w:sz w:val="24"/>
          <w:szCs w:val="24"/>
          <w:lang w:val="it-IT"/>
        </w:rPr>
        <w:t>mutations.</w:t>
      </w:r>
    </w:p>
    <w:p w:rsidR="00FC6E09" w:rsidRDefault="00CF3FD0" w:rsidP="00CF3FD0">
      <w:r w:rsidRPr="004274E8">
        <w:rPr>
          <w:rFonts w:asciiTheme="minorBidi" w:hAnsiTheme="minorBidi"/>
          <w:b/>
          <w:bCs/>
          <w:i/>
          <w:iCs/>
          <w:sz w:val="24"/>
          <w:szCs w:val="24"/>
        </w:rPr>
        <w:t xml:space="preserve">Conclusions: </w:t>
      </w:r>
      <w:r w:rsidRPr="004274E8">
        <w:rPr>
          <w:rFonts w:asciiTheme="minorBidi" w:hAnsiTheme="minorBidi"/>
          <w:sz w:val="24"/>
          <w:szCs w:val="24"/>
        </w:rPr>
        <w:t xml:space="preserve"> In 21 cases with </w:t>
      </w:r>
      <w:proofErr w:type="spellStart"/>
      <w:r w:rsidRPr="004274E8">
        <w:rPr>
          <w:rFonts w:asciiTheme="minorBidi" w:hAnsiTheme="minorBidi"/>
          <w:noProof/>
          <w:sz w:val="24"/>
          <w:szCs w:val="24"/>
        </w:rPr>
        <w:t>aHUS,</w:t>
      </w:r>
      <w:r w:rsidRPr="004274E8">
        <w:rPr>
          <w:rFonts w:asciiTheme="minorBidi" w:hAnsiTheme="minorBidi"/>
          <w:sz w:val="24"/>
          <w:szCs w:val="24"/>
        </w:rPr>
        <w:t>patients</w:t>
      </w:r>
      <w:proofErr w:type="spellEnd"/>
      <w:r w:rsidRPr="004274E8">
        <w:rPr>
          <w:rFonts w:asciiTheme="minorBidi" w:hAnsiTheme="minorBidi"/>
          <w:sz w:val="24"/>
          <w:szCs w:val="24"/>
        </w:rPr>
        <w:t xml:space="preserve"> on Eculizumab</w:t>
      </w:r>
      <w:r>
        <w:rPr>
          <w:rFonts w:asciiTheme="minorBidi" w:hAnsiTheme="minorBidi"/>
          <w:sz w:val="24"/>
          <w:szCs w:val="24"/>
        </w:rPr>
        <w:t xml:space="preserve"> </w:t>
      </w:r>
      <w:r w:rsidRPr="004274E8">
        <w:rPr>
          <w:rFonts w:asciiTheme="minorBidi" w:hAnsiTheme="minorBidi"/>
          <w:sz w:val="24"/>
          <w:szCs w:val="24"/>
        </w:rPr>
        <w:t xml:space="preserve">therapy </w:t>
      </w:r>
      <w:r w:rsidRPr="004274E8">
        <w:rPr>
          <w:rFonts w:asciiTheme="minorBidi" w:hAnsiTheme="minorBidi"/>
          <w:noProof/>
          <w:sz w:val="24"/>
          <w:szCs w:val="24"/>
        </w:rPr>
        <w:t>w</w:t>
      </w:r>
      <w:r>
        <w:rPr>
          <w:rFonts w:asciiTheme="minorBidi" w:hAnsiTheme="minorBidi"/>
          <w:noProof/>
          <w:sz w:val="24"/>
          <w:szCs w:val="24"/>
        </w:rPr>
        <w:t xml:space="preserve">ere </w:t>
      </w:r>
      <w:r w:rsidRPr="004274E8">
        <w:rPr>
          <w:rFonts w:asciiTheme="minorBidi" w:hAnsiTheme="minorBidi"/>
          <w:noProof/>
          <w:sz w:val="24"/>
          <w:szCs w:val="24"/>
        </w:rPr>
        <w:t>found</w:t>
      </w:r>
      <w:r>
        <w:rPr>
          <w:rFonts w:asciiTheme="minorBidi" w:hAnsiTheme="minorBidi"/>
          <w:noProof/>
          <w:sz w:val="24"/>
          <w:szCs w:val="24"/>
        </w:rPr>
        <w:t xml:space="preserve"> </w:t>
      </w:r>
      <w:r w:rsidRPr="004274E8">
        <w:rPr>
          <w:rFonts w:asciiTheme="minorBidi" w:hAnsiTheme="minorBidi"/>
          <w:noProof/>
          <w:sz w:val="24"/>
          <w:szCs w:val="24"/>
        </w:rPr>
        <w:t xml:space="preserve">to have better renal recovery and maintained remission </w:t>
      </w:r>
      <w:r w:rsidRPr="004274E8">
        <w:rPr>
          <w:rFonts w:asciiTheme="minorBidi" w:hAnsiTheme="minorBidi"/>
          <w:sz w:val="24"/>
          <w:szCs w:val="24"/>
        </w:rPr>
        <w:t xml:space="preserve">as compared to patients who </w:t>
      </w:r>
      <w:r w:rsidRPr="004274E8">
        <w:rPr>
          <w:rFonts w:asciiTheme="minorBidi" w:hAnsiTheme="minorBidi"/>
          <w:noProof/>
          <w:sz w:val="24"/>
          <w:szCs w:val="24"/>
        </w:rPr>
        <w:t>received plasma</w:t>
      </w:r>
      <w:r w:rsidRPr="004274E8">
        <w:rPr>
          <w:rFonts w:asciiTheme="minorBidi" w:hAnsiTheme="minorBidi"/>
          <w:sz w:val="24"/>
          <w:szCs w:val="24"/>
        </w:rPr>
        <w:t xml:space="preserve"> therapy. Genetic mutations detected </w:t>
      </w:r>
      <w:r w:rsidRPr="004274E8">
        <w:rPr>
          <w:rFonts w:asciiTheme="minorBidi" w:hAnsiTheme="minorBidi"/>
          <w:noProof/>
          <w:sz w:val="24"/>
          <w:szCs w:val="24"/>
        </w:rPr>
        <w:t>among our</w:t>
      </w:r>
      <w:r w:rsidRPr="004274E8">
        <w:rPr>
          <w:rFonts w:asciiTheme="minorBidi" w:hAnsiTheme="minorBidi"/>
          <w:sz w:val="24"/>
          <w:szCs w:val="24"/>
        </w:rPr>
        <w:t xml:space="preserve"> patients w</w:t>
      </w:r>
      <w:r>
        <w:rPr>
          <w:rFonts w:asciiTheme="minorBidi" w:hAnsiTheme="minorBidi"/>
          <w:sz w:val="24"/>
          <w:szCs w:val="24"/>
        </w:rPr>
        <w:t xml:space="preserve">ere </w:t>
      </w:r>
      <w:r w:rsidRPr="004274E8">
        <w:rPr>
          <w:rFonts w:asciiTheme="minorBidi" w:hAnsiTheme="minorBidi"/>
          <w:sz w:val="24"/>
          <w:szCs w:val="24"/>
        </w:rPr>
        <w:t>higher than reported for this ultra-rare disease, most</w:t>
      </w:r>
      <w:r w:rsidRPr="004274E8">
        <w:rPr>
          <w:rFonts w:asciiTheme="minorBidi" w:hAnsiTheme="minorBidi"/>
          <w:noProof/>
          <w:sz w:val="24"/>
          <w:szCs w:val="24"/>
        </w:rPr>
        <w:t>ly</w:t>
      </w:r>
      <w:r w:rsidRPr="004274E8">
        <w:rPr>
          <w:rFonts w:asciiTheme="minorBidi" w:hAnsiTheme="minorBidi"/>
          <w:sz w:val="24"/>
          <w:szCs w:val="24"/>
        </w:rPr>
        <w:t xml:space="preserve"> related to the high prevalence of consanguinity marriages</w:t>
      </w:r>
      <w:r w:rsidRPr="004274E8">
        <w:rPr>
          <w:rFonts w:asciiTheme="majorBidi" w:hAnsiTheme="majorBidi" w:cstheme="majorBidi"/>
          <w:sz w:val="24"/>
          <w:szCs w:val="24"/>
        </w:rPr>
        <w:t>.</w:t>
      </w:r>
    </w:p>
    <w:sectPr w:rsidR="00FC6E09" w:rsidSect="00FC6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D03"/>
    <w:multiLevelType w:val="hybridMultilevel"/>
    <w:tmpl w:val="96302FF6"/>
    <w:lvl w:ilvl="0" w:tplc="461E6C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4473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CAA7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022D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D45B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14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90DA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A61F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D805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CF3FD0"/>
    <w:rsid w:val="00CF3FD0"/>
    <w:rsid w:val="00FC6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0</DocSecurity>
  <Lines>14</Lines>
  <Paragraphs>4</Paragraphs>
  <ScaleCrop>false</ScaleCrop>
  <Company>Toshiba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2018-03-15T11:15:00Z</dcterms:created>
  <dcterms:modified xsi:type="dcterms:W3CDTF">2018-03-15T11:16:00Z</dcterms:modified>
</cp:coreProperties>
</file>