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BDA67" w14:textId="77777777" w:rsidR="008A55B5" w:rsidRPr="0005164C" w:rsidRDefault="003C0794" w:rsidP="00861508">
      <w:pPr>
        <w:rPr>
          <w:rFonts w:eastAsia="MS Mincho"/>
          <w:b/>
          <w:sz w:val="22"/>
          <w:szCs w:val="22"/>
          <w:u w:val="single"/>
        </w:rPr>
      </w:pPr>
      <w:r w:rsidRPr="0005164C">
        <w:rPr>
          <w:rFonts w:eastAsia="MS Mincho"/>
          <w:b/>
          <w:sz w:val="22"/>
          <w:szCs w:val="22"/>
          <w:u w:val="single"/>
        </w:rPr>
        <w:t xml:space="preserve">Abstract </w:t>
      </w:r>
    </w:p>
    <w:p w14:paraId="5D165F02" w14:textId="77777777" w:rsidR="003C0794" w:rsidRDefault="003C0794">
      <w:pPr>
        <w:pStyle w:val="Author"/>
        <w:rPr>
          <w:rFonts w:eastAsia="MS Mincho"/>
          <w:sz w:val="18"/>
          <w:szCs w:val="18"/>
        </w:rPr>
      </w:pPr>
    </w:p>
    <w:p w14:paraId="3E47B568"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60071CEA" w14:textId="77777777" w:rsidR="003A055E" w:rsidRPr="003A055E" w:rsidRDefault="003C0794" w:rsidP="003A055E">
      <w:pPr>
        <w:jc w:val="both"/>
        <w:rPr>
          <w:rFonts w:eastAsia="MS PGothic"/>
          <w:b/>
          <w:color w:val="000000"/>
          <w:sz w:val="22"/>
          <w:szCs w:val="22"/>
        </w:rPr>
      </w:pPr>
      <w:r w:rsidRPr="009D49B8">
        <w:rPr>
          <w:rFonts w:eastAsia="MS PGothic"/>
          <w:b/>
          <w:color w:val="000000"/>
          <w:sz w:val="22"/>
          <w:szCs w:val="22"/>
        </w:rPr>
        <w:lastRenderedPageBreak/>
        <w:t xml:space="preserve">Title: </w:t>
      </w:r>
      <w:r w:rsidR="003A055E" w:rsidRPr="003A055E">
        <w:rPr>
          <w:rFonts w:eastAsia="MS PGothic"/>
          <w:b/>
          <w:color w:val="000000"/>
          <w:sz w:val="22"/>
          <w:szCs w:val="22"/>
        </w:rPr>
        <w:t xml:space="preserve">CALCIUM CHANNEL BLOCKERS AND CONTRAST INDUCED NEPHROPATHY: A META ANALYSIS OF RANDOMIZED CONTROLLED TRIALS </w:t>
      </w:r>
    </w:p>
    <w:p w14:paraId="0BED1773" w14:textId="77777777" w:rsidR="0005164C" w:rsidRPr="009D49B8" w:rsidRDefault="0005164C" w:rsidP="003C0794">
      <w:pPr>
        <w:jc w:val="both"/>
        <w:rPr>
          <w:rFonts w:eastAsia="MS PGothic"/>
          <w:color w:val="000000"/>
          <w:sz w:val="22"/>
          <w:szCs w:val="22"/>
        </w:rPr>
      </w:pPr>
    </w:p>
    <w:p w14:paraId="21A95379" w14:textId="77777777" w:rsidR="003C0794" w:rsidRPr="003C0794" w:rsidRDefault="003A055E" w:rsidP="003C0794">
      <w:pPr>
        <w:shd w:val="clear" w:color="auto" w:fill="FFFFFF"/>
        <w:spacing w:after="150"/>
        <w:jc w:val="both"/>
        <w:rPr>
          <w:sz w:val="19"/>
          <w:szCs w:val="19"/>
          <w:lang w:val="en-IN" w:eastAsia="en-IN"/>
        </w:rPr>
      </w:pPr>
      <w:r>
        <w:rPr>
          <w:b/>
          <w:bCs/>
          <w:sz w:val="19"/>
          <w:szCs w:val="19"/>
          <w:lang w:val="en-IN" w:eastAsia="en-IN"/>
        </w:rPr>
        <w:t>ARDALES</w:t>
      </w:r>
      <w:r w:rsidR="003C0794" w:rsidRPr="0005164C">
        <w:rPr>
          <w:b/>
          <w:bCs/>
          <w:sz w:val="19"/>
          <w:szCs w:val="19"/>
          <w:lang w:val="en-IN" w:eastAsia="en-IN"/>
        </w:rPr>
        <w:t xml:space="preserve"> </w:t>
      </w:r>
      <w:r w:rsidR="009D49B8">
        <w:rPr>
          <w:b/>
          <w:bCs/>
          <w:sz w:val="19"/>
          <w:szCs w:val="19"/>
          <w:lang w:val="en-IN" w:eastAsia="en-IN"/>
        </w:rPr>
        <w:t xml:space="preserve"> </w:t>
      </w:r>
      <w:r>
        <w:rPr>
          <w:b/>
          <w:bCs/>
          <w:sz w:val="19"/>
          <w:szCs w:val="19"/>
          <w:lang w:val="en-IN" w:eastAsia="en-IN"/>
        </w:rPr>
        <w:t>M</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Pr>
          <w:b/>
          <w:bCs/>
          <w:sz w:val="19"/>
          <w:szCs w:val="19"/>
          <w:lang w:val="en-IN" w:eastAsia="en-IN"/>
        </w:rPr>
        <w:t xml:space="preserve"> OGBAC</w:t>
      </w:r>
      <w:r w:rsidR="003C0794" w:rsidRPr="0005164C">
        <w:rPr>
          <w:b/>
          <w:bCs/>
          <w:sz w:val="19"/>
          <w:szCs w:val="19"/>
          <w:lang w:val="en-IN" w:eastAsia="en-IN"/>
        </w:rPr>
        <w:t xml:space="preserve"> </w:t>
      </w:r>
      <w:r w:rsidR="009D49B8">
        <w:rPr>
          <w:b/>
          <w:bCs/>
          <w:sz w:val="19"/>
          <w:szCs w:val="19"/>
          <w:lang w:val="en-IN" w:eastAsia="en-IN"/>
        </w:rPr>
        <w:t xml:space="preserve"> </w:t>
      </w:r>
      <w:r>
        <w:rPr>
          <w:b/>
          <w:bCs/>
          <w:sz w:val="19"/>
          <w:szCs w:val="19"/>
          <w:lang w:val="en-IN" w:eastAsia="en-IN"/>
        </w:rPr>
        <w:t>F</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sidR="00E918C4">
        <w:rPr>
          <w:b/>
          <w:bCs/>
          <w:sz w:val="19"/>
          <w:szCs w:val="19"/>
          <w:lang w:val="en-IN" w:eastAsia="en-IN"/>
        </w:rPr>
        <w:t xml:space="preserve"> </w:t>
      </w:r>
    </w:p>
    <w:p w14:paraId="77F40160" w14:textId="77777777"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3A055E">
        <w:rPr>
          <w:sz w:val="19"/>
          <w:szCs w:val="19"/>
          <w:lang w:val="en-IN" w:eastAsia="en-IN"/>
        </w:rPr>
        <w:t xml:space="preserve">Internal Medicine, </w:t>
      </w:r>
      <w:proofErr w:type="spellStart"/>
      <w:r w:rsidR="003A055E">
        <w:rPr>
          <w:sz w:val="19"/>
          <w:szCs w:val="19"/>
          <w:lang w:val="en-IN" w:eastAsia="en-IN"/>
        </w:rPr>
        <w:t>Ospital</w:t>
      </w:r>
      <w:proofErr w:type="spellEnd"/>
      <w:r w:rsidR="003A055E">
        <w:rPr>
          <w:sz w:val="19"/>
          <w:szCs w:val="19"/>
          <w:lang w:val="en-IN" w:eastAsia="en-IN"/>
        </w:rPr>
        <w:t xml:space="preserve"> ng Makati</w:t>
      </w:r>
      <w:r w:rsidR="009D49B8" w:rsidRPr="00351E9B">
        <w:rPr>
          <w:sz w:val="19"/>
          <w:szCs w:val="19"/>
          <w:lang w:val="en-IN" w:eastAsia="en-IN"/>
        </w:rPr>
        <w:t>, Philippines</w:t>
      </w:r>
    </w:p>
    <w:p w14:paraId="66E5B775" w14:textId="77777777" w:rsidR="008A55B5" w:rsidRPr="00351E9B" w:rsidRDefault="008A55B5">
      <w:pPr>
        <w:rPr>
          <w:rFonts w:eastAsia="MS Mincho"/>
          <w:sz w:val="19"/>
          <w:szCs w:val="19"/>
        </w:rPr>
      </w:pPr>
    </w:p>
    <w:p w14:paraId="15BBFFD0" w14:textId="77777777" w:rsidR="00861508" w:rsidRPr="0005164C" w:rsidRDefault="00861508">
      <w:pPr>
        <w:rPr>
          <w:rFonts w:eastAsia="MS Mincho"/>
          <w:sz w:val="19"/>
          <w:szCs w:val="19"/>
        </w:rPr>
      </w:pPr>
    </w:p>
    <w:p w14:paraId="68518F26" w14:textId="77777777" w:rsidR="00812538" w:rsidRDefault="00812538" w:rsidP="00812538">
      <w:pPr>
        <w:jc w:val="both"/>
        <w:rPr>
          <w:rFonts w:eastAsia="MS Mincho"/>
          <w:sz w:val="19"/>
          <w:szCs w:val="19"/>
        </w:rPr>
      </w:pPr>
    </w:p>
    <w:p w14:paraId="1BED94AD"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046D6B98" w14:textId="77777777" w:rsidR="003A055E" w:rsidRPr="003A055E" w:rsidRDefault="009D49B8" w:rsidP="003A055E">
      <w:pPr>
        <w:pStyle w:val="keywords"/>
        <w:ind w:firstLine="0"/>
        <w:rPr>
          <w:sz w:val="19"/>
          <w:szCs w:val="19"/>
          <w:lang w:eastAsia="en-IN"/>
        </w:rPr>
      </w:pPr>
      <w:r>
        <w:rPr>
          <w:bCs w:val="0"/>
          <w:i w:val="0"/>
          <w:iCs w:val="0"/>
          <w:noProof w:val="0"/>
          <w:sz w:val="19"/>
          <w:szCs w:val="19"/>
          <w:lang w:val="en-IN" w:eastAsia="en-IN"/>
        </w:rPr>
        <w:lastRenderedPageBreak/>
        <w:t xml:space="preserve">Keywords: </w:t>
      </w:r>
      <w:r w:rsidR="003A055E" w:rsidRPr="003A055E">
        <w:rPr>
          <w:sz w:val="19"/>
          <w:szCs w:val="19"/>
          <w:lang w:eastAsia="en-IN"/>
        </w:rPr>
        <w:t xml:space="preserve">Calcium Channel Blockers, Contrast Induced Nephropathy </w:t>
      </w:r>
    </w:p>
    <w:p w14:paraId="74C56947" w14:textId="77777777" w:rsidR="003C0794" w:rsidRPr="0005164C" w:rsidRDefault="003C0794" w:rsidP="003C0794">
      <w:pPr>
        <w:pStyle w:val="keywords"/>
        <w:ind w:firstLine="0"/>
        <w:rPr>
          <w:bCs w:val="0"/>
          <w:i w:val="0"/>
          <w:iCs w:val="0"/>
          <w:noProof w:val="0"/>
          <w:sz w:val="19"/>
          <w:szCs w:val="19"/>
          <w:lang w:val="en-IN" w:eastAsia="en-IN"/>
        </w:rPr>
      </w:pPr>
    </w:p>
    <w:p w14:paraId="5464B86F" w14:textId="77777777" w:rsidR="003C0794" w:rsidRPr="0005164C" w:rsidRDefault="003C0794" w:rsidP="003C0794">
      <w:pPr>
        <w:pStyle w:val="keywords"/>
        <w:ind w:firstLine="0"/>
        <w:rPr>
          <w:b w:val="0"/>
          <w:bCs w:val="0"/>
          <w:i w:val="0"/>
          <w:iCs w:val="0"/>
          <w:noProof w:val="0"/>
          <w:sz w:val="19"/>
          <w:szCs w:val="19"/>
          <w:lang w:val="en-IN" w:eastAsia="en-IN"/>
        </w:rPr>
      </w:pPr>
    </w:p>
    <w:p w14:paraId="37046D0A"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14:paraId="3FD7F5FE" w14:textId="77777777" w:rsidR="003A055E" w:rsidRPr="003A055E" w:rsidRDefault="003A055E" w:rsidP="003A055E">
      <w:pPr>
        <w:widowControl w:val="0"/>
        <w:autoSpaceDE w:val="0"/>
        <w:autoSpaceDN w:val="0"/>
        <w:adjustRightInd w:val="0"/>
        <w:spacing w:after="240"/>
        <w:jc w:val="both"/>
        <w:rPr>
          <w:sz w:val="19"/>
          <w:szCs w:val="19"/>
        </w:rPr>
      </w:pPr>
      <w:r w:rsidRPr="003A055E">
        <w:rPr>
          <w:sz w:val="19"/>
          <w:szCs w:val="19"/>
        </w:rPr>
        <w:t>BACKGROUND Contrast material–related nephropathy occurs with a significant frequency, especially among hospitalized patients. The administration of iodinated contrast agents is the third leading cause of hospital-acquired acute kidney injury (AKI).</w:t>
      </w:r>
    </w:p>
    <w:p w14:paraId="5B04F78D" w14:textId="77777777" w:rsidR="003A055E" w:rsidRPr="003A055E" w:rsidRDefault="003A055E" w:rsidP="003A055E">
      <w:pPr>
        <w:widowControl w:val="0"/>
        <w:autoSpaceDE w:val="0"/>
        <w:autoSpaceDN w:val="0"/>
        <w:adjustRightInd w:val="0"/>
        <w:spacing w:after="240"/>
        <w:jc w:val="both"/>
        <w:rPr>
          <w:sz w:val="19"/>
          <w:szCs w:val="19"/>
        </w:rPr>
      </w:pPr>
      <w:r w:rsidRPr="003A055E">
        <w:rPr>
          <w:sz w:val="19"/>
          <w:szCs w:val="19"/>
        </w:rPr>
        <w:t>Previous reports have showed conflicting results that the use of calcium blockers decrease the risk of CIN. This meta analysis focuses on the effectiveness of calcium blockers in preventing contrast nephropathy.</w:t>
      </w:r>
    </w:p>
    <w:p w14:paraId="6899B3BD" w14:textId="77777777" w:rsidR="003A055E" w:rsidRPr="003A055E" w:rsidRDefault="003A055E" w:rsidP="003A055E">
      <w:pPr>
        <w:widowControl w:val="0"/>
        <w:autoSpaceDE w:val="0"/>
        <w:autoSpaceDN w:val="0"/>
        <w:adjustRightInd w:val="0"/>
        <w:spacing w:after="240"/>
        <w:jc w:val="both"/>
        <w:rPr>
          <w:sz w:val="19"/>
          <w:szCs w:val="19"/>
        </w:rPr>
      </w:pPr>
      <w:r w:rsidRPr="003A055E">
        <w:rPr>
          <w:sz w:val="19"/>
          <w:szCs w:val="19"/>
        </w:rPr>
        <w:t>METHODS</w:t>
      </w:r>
      <w:r w:rsidRPr="003A055E">
        <w:rPr>
          <w:rFonts w:ascii="MS Mincho" w:eastAsia="MS Mincho" w:hAnsi="MS Mincho" w:cs="MS Mincho"/>
          <w:sz w:val="19"/>
          <w:szCs w:val="19"/>
        </w:rPr>
        <w:t> </w:t>
      </w:r>
      <w:r w:rsidRPr="003A055E">
        <w:rPr>
          <w:sz w:val="19"/>
          <w:szCs w:val="19"/>
        </w:rPr>
        <w:t xml:space="preserve">Literature search was done using </w:t>
      </w:r>
      <w:proofErr w:type="spellStart"/>
      <w:r w:rsidRPr="003A055E">
        <w:rPr>
          <w:sz w:val="19"/>
          <w:szCs w:val="19"/>
        </w:rPr>
        <w:t>Pubmed</w:t>
      </w:r>
      <w:proofErr w:type="spellEnd"/>
      <w:r w:rsidRPr="003A055E">
        <w:rPr>
          <w:sz w:val="19"/>
          <w:szCs w:val="19"/>
        </w:rPr>
        <w:t xml:space="preserve"> with keywords "calcium channel blocker" AND "contrast induced nephropathy" limited to human subjects and electronically published articles only. Same keywords were used in Cochrane library. Eligibility criteria were (1) randomized controlled trials, (2) adult patients undergoing radiologic examinations involving infusion of contrast media (3) incidence of CIN as an outcome defined as increase in creatinine of either at least 0.5 mg/</w:t>
      </w:r>
      <w:proofErr w:type="spellStart"/>
      <w:r w:rsidRPr="003A055E">
        <w:rPr>
          <w:sz w:val="19"/>
          <w:szCs w:val="19"/>
        </w:rPr>
        <w:t>dL</w:t>
      </w:r>
      <w:proofErr w:type="spellEnd"/>
      <w:r w:rsidRPr="003A055E">
        <w:rPr>
          <w:sz w:val="19"/>
          <w:szCs w:val="19"/>
        </w:rPr>
        <w:t xml:space="preserve"> or 25% from baseline. A fixed effect meta analysis of RCT assessing the effects of calcium channel blocking drugs in preventing CIN fitting the inclusion criteria was conducted.</w:t>
      </w:r>
    </w:p>
    <w:p w14:paraId="6B91397E" w14:textId="77777777" w:rsidR="003A055E" w:rsidRPr="003A055E" w:rsidRDefault="003A055E" w:rsidP="003A055E">
      <w:pPr>
        <w:widowControl w:val="0"/>
        <w:autoSpaceDE w:val="0"/>
        <w:autoSpaceDN w:val="0"/>
        <w:adjustRightInd w:val="0"/>
        <w:spacing w:after="240"/>
        <w:jc w:val="both"/>
        <w:rPr>
          <w:sz w:val="19"/>
          <w:szCs w:val="19"/>
        </w:rPr>
      </w:pPr>
      <w:r w:rsidRPr="003A055E">
        <w:rPr>
          <w:sz w:val="19"/>
          <w:szCs w:val="19"/>
        </w:rPr>
        <w:t>RESULTS</w:t>
      </w:r>
      <w:r>
        <w:rPr>
          <w:sz w:val="19"/>
          <w:szCs w:val="19"/>
        </w:rPr>
        <w:t xml:space="preserve">. </w:t>
      </w:r>
      <w:r w:rsidRPr="003A055E">
        <w:rPr>
          <w:sz w:val="19"/>
          <w:szCs w:val="19"/>
        </w:rPr>
        <w:t>In the meta analysis of the 3 trials, which included 395 randomized patients, the combined RR was 0.50 (95% CI 0.23-1.09). This meta analysis demonstrates a statistically not significant 50 % reduction in the risk for CIN.</w:t>
      </w:r>
    </w:p>
    <w:p w14:paraId="3D577CD4" w14:textId="77777777" w:rsidR="003A055E" w:rsidRPr="003A055E" w:rsidRDefault="003A055E" w:rsidP="003A055E">
      <w:pPr>
        <w:widowControl w:val="0"/>
        <w:autoSpaceDE w:val="0"/>
        <w:autoSpaceDN w:val="0"/>
        <w:adjustRightInd w:val="0"/>
        <w:spacing w:after="240"/>
        <w:jc w:val="both"/>
        <w:rPr>
          <w:sz w:val="19"/>
          <w:szCs w:val="19"/>
        </w:rPr>
      </w:pPr>
      <w:r w:rsidRPr="003A055E">
        <w:rPr>
          <w:sz w:val="19"/>
          <w:szCs w:val="19"/>
        </w:rPr>
        <w:t>CONCLUSION</w:t>
      </w:r>
      <w:r w:rsidRPr="003A055E">
        <w:rPr>
          <w:rFonts w:ascii="MS Mincho" w:eastAsia="MS Mincho" w:hAnsi="MS Mincho" w:cs="MS Mincho"/>
          <w:sz w:val="19"/>
          <w:szCs w:val="19"/>
        </w:rPr>
        <w:t> </w:t>
      </w:r>
      <w:r w:rsidRPr="003A055E">
        <w:rPr>
          <w:sz w:val="19"/>
          <w:szCs w:val="19"/>
        </w:rPr>
        <w:t>Calcium channel blockers may lower the risk of contrast induced nephropathy. Further randomized trials of large sample size will add importantly relevant information to the totality of evidence and allow the most rational clinical decisions for individual patients as well as policy decisions for the health of the general public.</w:t>
      </w:r>
    </w:p>
    <w:p w14:paraId="605C93C6" w14:textId="77777777" w:rsidR="00861508" w:rsidRPr="0005164C" w:rsidRDefault="00861508" w:rsidP="006E6343">
      <w:pPr>
        <w:jc w:val="both"/>
        <w:rPr>
          <w:sz w:val="19"/>
          <w:szCs w:val="19"/>
        </w:rPr>
      </w:pPr>
    </w:p>
    <w:p w14:paraId="5A9E0D10" w14:textId="77777777" w:rsidR="003C0794" w:rsidRPr="0005164C" w:rsidRDefault="003C0794" w:rsidP="003C0794">
      <w:pPr>
        <w:pStyle w:val="BodyText"/>
        <w:ind w:firstLine="0"/>
        <w:rPr>
          <w:sz w:val="19"/>
          <w:szCs w:val="19"/>
        </w:rPr>
      </w:pPr>
    </w:p>
    <w:p w14:paraId="7C67FB7F" w14:textId="77777777" w:rsidR="003C0794" w:rsidRPr="0005164C" w:rsidRDefault="003C0794" w:rsidP="003C0794">
      <w:pPr>
        <w:pStyle w:val="BodyText"/>
        <w:jc w:val="left"/>
        <w:rPr>
          <w:sz w:val="19"/>
          <w:szCs w:val="19"/>
        </w:rPr>
      </w:pPr>
    </w:p>
    <w:p w14:paraId="3C282B6D" w14:textId="77777777" w:rsidR="003C0794" w:rsidRPr="0005164C" w:rsidRDefault="003C0794" w:rsidP="00861508">
      <w:pPr>
        <w:pStyle w:val="BodyText"/>
        <w:numPr>
          <w:ilvl w:val="0"/>
          <w:numId w:val="22"/>
        </w:numPr>
        <w:jc w:val="left"/>
        <w:rPr>
          <w:b/>
          <w:sz w:val="19"/>
          <w:szCs w:val="19"/>
        </w:rPr>
      </w:pPr>
      <w:r w:rsidRPr="0005164C">
        <w:rPr>
          <w:b/>
          <w:sz w:val="19"/>
          <w:szCs w:val="19"/>
        </w:rPr>
        <w:t>Reference:</w:t>
      </w:r>
    </w:p>
    <w:p w14:paraId="6C16CAD6"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bookmarkStart w:id="1" w:name="2"/>
      <w:bookmarkEnd w:id="1"/>
      <w:proofErr w:type="spellStart"/>
      <w:r w:rsidRPr="006E6343">
        <w:rPr>
          <w:color w:val="353535"/>
          <w:sz w:val="19"/>
          <w:szCs w:val="19"/>
        </w:rPr>
        <w:lastRenderedPageBreak/>
        <w:t>Khoury</w:t>
      </w:r>
      <w:proofErr w:type="spellEnd"/>
      <w:r w:rsidRPr="006E6343">
        <w:rPr>
          <w:color w:val="353535"/>
          <w:sz w:val="19"/>
          <w:szCs w:val="19"/>
        </w:rPr>
        <w:t xml:space="preserve"> Z, </w:t>
      </w:r>
      <w:proofErr w:type="spellStart"/>
      <w:r w:rsidRPr="006E6343">
        <w:rPr>
          <w:color w:val="353535"/>
          <w:sz w:val="19"/>
          <w:szCs w:val="19"/>
        </w:rPr>
        <w:t>Schlicht</w:t>
      </w:r>
      <w:proofErr w:type="spellEnd"/>
      <w:r w:rsidRPr="006E6343">
        <w:rPr>
          <w:color w:val="353535"/>
          <w:sz w:val="19"/>
          <w:szCs w:val="19"/>
        </w:rPr>
        <w:t xml:space="preserve"> J, Como Jennifer, </w:t>
      </w:r>
      <w:proofErr w:type="gramStart"/>
      <w:r w:rsidRPr="006E6343">
        <w:rPr>
          <w:color w:val="353535"/>
          <w:sz w:val="19"/>
          <w:szCs w:val="19"/>
        </w:rPr>
        <w:t xml:space="preserve">et </w:t>
      </w:r>
      <w:proofErr w:type="spellStart"/>
      <w:r w:rsidRPr="006E6343">
        <w:rPr>
          <w:color w:val="353535"/>
          <w:sz w:val="19"/>
          <w:szCs w:val="19"/>
        </w:rPr>
        <w:t>al.,The</w:t>
      </w:r>
      <w:proofErr w:type="spellEnd"/>
      <w:proofErr w:type="gramEnd"/>
      <w:r w:rsidRPr="006E6343">
        <w:rPr>
          <w:color w:val="353535"/>
          <w:sz w:val="19"/>
          <w:szCs w:val="19"/>
        </w:rPr>
        <w:t xml:space="preserve"> Effect of Prophylactic </w:t>
      </w:r>
      <w:proofErr w:type="spellStart"/>
      <w:r w:rsidRPr="006E6343">
        <w:rPr>
          <w:color w:val="353535"/>
          <w:sz w:val="19"/>
          <w:szCs w:val="19"/>
        </w:rPr>
        <w:t>Nifedipine</w:t>
      </w:r>
      <w:proofErr w:type="spellEnd"/>
      <w:r w:rsidRPr="006E6343">
        <w:rPr>
          <w:color w:val="353535"/>
          <w:sz w:val="19"/>
          <w:szCs w:val="19"/>
        </w:rPr>
        <w:t xml:space="preserve"> on Renal Function in Patients Administered Contrast Media , Pharmacotherapy 1995;15( 1):59-65) </w:t>
      </w:r>
      <w:r w:rsidRPr="006E6343">
        <w:rPr>
          <w:rFonts w:ascii="MS Mincho" w:eastAsia="MS Mincho" w:hAnsi="MS Mincho" w:cs="MS Mincho"/>
          <w:color w:val="353535"/>
          <w:sz w:val="19"/>
          <w:szCs w:val="19"/>
        </w:rPr>
        <w:t> </w:t>
      </w:r>
    </w:p>
    <w:p w14:paraId="41707691"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Carraro</w:t>
      </w:r>
      <w:proofErr w:type="spellEnd"/>
      <w:r w:rsidRPr="006E6343">
        <w:rPr>
          <w:color w:val="353535"/>
          <w:sz w:val="19"/>
          <w:szCs w:val="19"/>
        </w:rPr>
        <w:t xml:space="preserve"> M, Mancini1 W, </w:t>
      </w:r>
      <w:proofErr w:type="spellStart"/>
      <w:r w:rsidRPr="006E6343">
        <w:rPr>
          <w:color w:val="353535"/>
          <w:sz w:val="19"/>
          <w:szCs w:val="19"/>
        </w:rPr>
        <w:t>Artero</w:t>
      </w:r>
      <w:proofErr w:type="spellEnd"/>
      <w:r w:rsidRPr="006E6343">
        <w:rPr>
          <w:color w:val="353535"/>
          <w:sz w:val="19"/>
          <w:szCs w:val="19"/>
        </w:rPr>
        <w:t xml:space="preserve"> M et al, Dose effect of </w:t>
      </w:r>
      <w:proofErr w:type="spellStart"/>
      <w:r w:rsidRPr="006E6343">
        <w:rPr>
          <w:color w:val="353535"/>
          <w:sz w:val="19"/>
          <w:szCs w:val="19"/>
        </w:rPr>
        <w:t>nitrendipine</w:t>
      </w:r>
      <w:proofErr w:type="spellEnd"/>
      <w:r w:rsidRPr="006E6343">
        <w:rPr>
          <w:color w:val="353535"/>
          <w:sz w:val="19"/>
          <w:szCs w:val="19"/>
        </w:rPr>
        <w:t xml:space="preserve"> on urinary enzymes and </w:t>
      </w:r>
      <w:proofErr w:type="spellStart"/>
      <w:r w:rsidRPr="006E6343">
        <w:rPr>
          <w:color w:val="353535"/>
          <w:sz w:val="19"/>
          <w:szCs w:val="19"/>
        </w:rPr>
        <w:t>microproteins</w:t>
      </w:r>
      <w:proofErr w:type="spellEnd"/>
      <w:r w:rsidRPr="006E6343">
        <w:rPr>
          <w:color w:val="353535"/>
          <w:sz w:val="19"/>
          <w:szCs w:val="19"/>
        </w:rPr>
        <w:t xml:space="preserve"> following non-ionic </w:t>
      </w:r>
      <w:proofErr w:type="spellStart"/>
      <w:r w:rsidRPr="006E6343">
        <w:rPr>
          <w:color w:val="353535"/>
          <w:sz w:val="19"/>
          <w:szCs w:val="19"/>
        </w:rPr>
        <w:t>radiocontrast</w:t>
      </w:r>
      <w:proofErr w:type="spellEnd"/>
      <w:r w:rsidRPr="006E6343">
        <w:rPr>
          <w:color w:val="353535"/>
          <w:sz w:val="19"/>
          <w:szCs w:val="19"/>
        </w:rPr>
        <w:t xml:space="preserve"> administration. </w:t>
      </w:r>
      <w:proofErr w:type="spellStart"/>
      <w:r w:rsidRPr="006E6343">
        <w:rPr>
          <w:color w:val="353535"/>
          <w:sz w:val="19"/>
          <w:szCs w:val="19"/>
        </w:rPr>
        <w:t>Nephrol</w:t>
      </w:r>
      <w:proofErr w:type="spellEnd"/>
      <w:r w:rsidRPr="006E6343">
        <w:rPr>
          <w:color w:val="353535"/>
          <w:sz w:val="19"/>
          <w:szCs w:val="19"/>
        </w:rPr>
        <w:t xml:space="preserve"> Dial Transplant 1996; 11: 444-448 </w:t>
      </w:r>
      <w:r w:rsidRPr="006E6343">
        <w:rPr>
          <w:rFonts w:ascii="MS Mincho" w:eastAsia="MS Mincho" w:hAnsi="MS Mincho" w:cs="MS Mincho"/>
          <w:color w:val="353535"/>
          <w:sz w:val="19"/>
          <w:szCs w:val="19"/>
        </w:rPr>
        <w:t> </w:t>
      </w:r>
    </w:p>
    <w:p w14:paraId="12817836"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r w:rsidRPr="006E6343">
        <w:rPr>
          <w:color w:val="353535"/>
          <w:sz w:val="19"/>
          <w:szCs w:val="19"/>
        </w:rPr>
        <w:t xml:space="preserve">Hui </w:t>
      </w:r>
      <w:proofErr w:type="spellStart"/>
      <w:r w:rsidRPr="006E6343">
        <w:rPr>
          <w:color w:val="353535"/>
          <w:sz w:val="19"/>
          <w:szCs w:val="19"/>
        </w:rPr>
        <w:t>Haipeng</w:t>
      </w:r>
      <w:proofErr w:type="spellEnd"/>
      <w:r w:rsidRPr="006E6343">
        <w:rPr>
          <w:color w:val="353535"/>
          <w:sz w:val="19"/>
          <w:szCs w:val="19"/>
        </w:rPr>
        <w:t xml:space="preserve">, LI </w:t>
      </w:r>
      <w:proofErr w:type="spellStart"/>
      <w:r w:rsidRPr="006E6343">
        <w:rPr>
          <w:color w:val="353535"/>
          <w:sz w:val="19"/>
          <w:szCs w:val="19"/>
        </w:rPr>
        <w:t>Kailiang</w:t>
      </w:r>
      <w:proofErr w:type="spellEnd"/>
      <w:r w:rsidRPr="006E6343">
        <w:rPr>
          <w:color w:val="353535"/>
          <w:sz w:val="19"/>
          <w:szCs w:val="19"/>
        </w:rPr>
        <w:t xml:space="preserve">, LI </w:t>
      </w:r>
      <w:proofErr w:type="spellStart"/>
      <w:r w:rsidRPr="006E6343">
        <w:rPr>
          <w:color w:val="353535"/>
          <w:sz w:val="19"/>
          <w:szCs w:val="19"/>
        </w:rPr>
        <w:t>Zhenbiao</w:t>
      </w:r>
      <w:proofErr w:type="spellEnd"/>
      <w:r w:rsidRPr="006E6343">
        <w:rPr>
          <w:color w:val="353535"/>
          <w:sz w:val="19"/>
          <w:szCs w:val="19"/>
        </w:rPr>
        <w:t xml:space="preserve">, WANG, et a., Protective effect of amlodipine against contrast agent-induced renal injury in elderly patients with coronary heart disease, J South Med </w:t>
      </w:r>
      <w:proofErr w:type="spellStart"/>
      <w:r w:rsidRPr="006E6343">
        <w:rPr>
          <w:color w:val="353535"/>
          <w:sz w:val="19"/>
          <w:szCs w:val="19"/>
        </w:rPr>
        <w:t>Univ</w:t>
      </w:r>
      <w:proofErr w:type="spellEnd"/>
      <w:r w:rsidRPr="006E6343">
        <w:rPr>
          <w:color w:val="353535"/>
          <w:sz w:val="19"/>
          <w:szCs w:val="19"/>
        </w:rPr>
        <w:t xml:space="preserve">, 2012;32(11) </w:t>
      </w:r>
      <w:r w:rsidRPr="006E6343">
        <w:rPr>
          <w:rFonts w:ascii="MS Mincho" w:eastAsia="MS Mincho" w:hAnsi="MS Mincho" w:cs="MS Mincho"/>
          <w:color w:val="353535"/>
          <w:sz w:val="19"/>
          <w:szCs w:val="19"/>
        </w:rPr>
        <w:t> </w:t>
      </w:r>
    </w:p>
    <w:p w14:paraId="0BED79CD"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r w:rsidRPr="006E6343">
        <w:rPr>
          <w:color w:val="353535"/>
          <w:sz w:val="19"/>
          <w:szCs w:val="19"/>
        </w:rPr>
        <w:t xml:space="preserve">Longo D, Kasper D, Jameson L, et al., Harrison's Principles of Internal Medicine, 19th Edition, 2015 </w:t>
      </w:r>
      <w:r w:rsidRPr="006E6343">
        <w:rPr>
          <w:rFonts w:ascii="MS Mincho" w:eastAsia="MS Mincho" w:hAnsi="MS Mincho" w:cs="MS Mincho"/>
          <w:color w:val="353535"/>
          <w:sz w:val="19"/>
          <w:szCs w:val="19"/>
        </w:rPr>
        <w:t> </w:t>
      </w:r>
    </w:p>
    <w:p w14:paraId="30665A35"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Taal</w:t>
      </w:r>
      <w:proofErr w:type="spellEnd"/>
      <w:r w:rsidRPr="006E6343">
        <w:rPr>
          <w:color w:val="353535"/>
          <w:sz w:val="19"/>
          <w:szCs w:val="19"/>
        </w:rPr>
        <w:t xml:space="preserve"> M, </w:t>
      </w:r>
      <w:proofErr w:type="spellStart"/>
      <w:r w:rsidRPr="006E6343">
        <w:rPr>
          <w:color w:val="353535"/>
          <w:sz w:val="19"/>
          <w:szCs w:val="19"/>
        </w:rPr>
        <w:t>Chertow</w:t>
      </w:r>
      <w:proofErr w:type="spellEnd"/>
      <w:r w:rsidRPr="006E6343">
        <w:rPr>
          <w:color w:val="353535"/>
          <w:sz w:val="19"/>
          <w:szCs w:val="19"/>
        </w:rPr>
        <w:t xml:space="preserve"> G, Marsden P, Brenner &amp; Rector - The Kidney - 9th Edition </w:t>
      </w:r>
      <w:r w:rsidRPr="006E6343">
        <w:rPr>
          <w:rFonts w:ascii="MS Mincho" w:eastAsia="MS Mincho" w:hAnsi="MS Mincho" w:cs="MS Mincho"/>
          <w:color w:val="353535"/>
          <w:sz w:val="19"/>
          <w:szCs w:val="19"/>
        </w:rPr>
        <w:t> </w:t>
      </w:r>
    </w:p>
    <w:p w14:paraId="619F6796"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Katzung</w:t>
      </w:r>
      <w:proofErr w:type="spellEnd"/>
      <w:r w:rsidRPr="006E6343">
        <w:rPr>
          <w:color w:val="353535"/>
          <w:sz w:val="19"/>
          <w:szCs w:val="19"/>
        </w:rPr>
        <w:t xml:space="preserve"> D, Masters S, et al., Basic and Clinical Pharmacology, 11</w:t>
      </w:r>
      <w:proofErr w:type="spellStart"/>
      <w:r w:rsidRPr="006E6343">
        <w:rPr>
          <w:color w:val="353535"/>
          <w:position w:val="16"/>
          <w:sz w:val="19"/>
          <w:szCs w:val="19"/>
        </w:rPr>
        <w:t>th</w:t>
      </w:r>
      <w:proofErr w:type="spellEnd"/>
      <w:r w:rsidRPr="006E6343">
        <w:rPr>
          <w:color w:val="353535"/>
          <w:position w:val="16"/>
          <w:sz w:val="19"/>
          <w:szCs w:val="19"/>
        </w:rPr>
        <w:t xml:space="preserve"> </w:t>
      </w:r>
      <w:r w:rsidRPr="006E6343">
        <w:rPr>
          <w:color w:val="353535"/>
          <w:sz w:val="19"/>
          <w:szCs w:val="19"/>
        </w:rPr>
        <w:t xml:space="preserve">Edition, 2012 </w:t>
      </w:r>
      <w:r w:rsidRPr="006E6343">
        <w:rPr>
          <w:rFonts w:ascii="MS Mincho" w:eastAsia="MS Mincho" w:hAnsi="MS Mincho" w:cs="MS Mincho"/>
          <w:color w:val="353535"/>
          <w:sz w:val="19"/>
          <w:szCs w:val="19"/>
        </w:rPr>
        <w:t> </w:t>
      </w:r>
    </w:p>
    <w:p w14:paraId="3B55D882"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r w:rsidRPr="006E6343">
        <w:rPr>
          <w:color w:val="353535"/>
          <w:sz w:val="19"/>
          <w:szCs w:val="19"/>
        </w:rPr>
        <w:t xml:space="preserve">C </w:t>
      </w:r>
      <w:proofErr w:type="spellStart"/>
      <w:r w:rsidRPr="006E6343">
        <w:rPr>
          <w:color w:val="353535"/>
          <w:sz w:val="19"/>
          <w:szCs w:val="19"/>
        </w:rPr>
        <w:t>Briguori</w:t>
      </w:r>
      <w:proofErr w:type="spellEnd"/>
      <w:r w:rsidRPr="006E6343">
        <w:rPr>
          <w:color w:val="353535"/>
          <w:sz w:val="19"/>
          <w:szCs w:val="19"/>
        </w:rPr>
        <w:t xml:space="preserve">, G </w:t>
      </w:r>
      <w:proofErr w:type="spellStart"/>
      <w:r w:rsidRPr="006E6343">
        <w:rPr>
          <w:color w:val="353535"/>
          <w:sz w:val="19"/>
          <w:szCs w:val="19"/>
        </w:rPr>
        <w:t>Marenzi</w:t>
      </w:r>
      <w:proofErr w:type="spellEnd"/>
      <w:r w:rsidRPr="006E6343">
        <w:rPr>
          <w:color w:val="353535"/>
          <w:sz w:val="19"/>
          <w:szCs w:val="19"/>
        </w:rPr>
        <w:t xml:space="preserve">., Contrast-induced nephropathy: Pharmacological prophylaxis, </w:t>
      </w:r>
      <w:r w:rsidRPr="006E6343">
        <w:rPr>
          <w:rFonts w:ascii="MS Mincho" w:eastAsia="MS Mincho" w:hAnsi="MS Mincho" w:cs="MS Mincho"/>
          <w:color w:val="353535"/>
          <w:sz w:val="19"/>
          <w:szCs w:val="19"/>
        </w:rPr>
        <w:t> </w:t>
      </w:r>
      <w:r w:rsidRPr="006E6343">
        <w:rPr>
          <w:color w:val="353535"/>
          <w:sz w:val="19"/>
          <w:szCs w:val="19"/>
        </w:rPr>
        <w:t xml:space="preserve">International Society of Nephrology 2006; 69, S30–S38. </w:t>
      </w:r>
      <w:r w:rsidRPr="006E6343">
        <w:rPr>
          <w:rFonts w:ascii="MS Mincho" w:eastAsia="MS Mincho" w:hAnsi="MS Mincho" w:cs="MS Mincho"/>
          <w:color w:val="353535"/>
          <w:sz w:val="19"/>
          <w:szCs w:val="19"/>
        </w:rPr>
        <w:t> </w:t>
      </w:r>
    </w:p>
    <w:p w14:paraId="675FC618"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Neumayer</w:t>
      </w:r>
      <w:proofErr w:type="spellEnd"/>
      <w:r w:rsidRPr="006E6343">
        <w:rPr>
          <w:color w:val="353535"/>
          <w:sz w:val="19"/>
          <w:szCs w:val="19"/>
        </w:rPr>
        <w:t xml:space="preserve"> HH, </w:t>
      </w:r>
      <w:proofErr w:type="spellStart"/>
      <w:r w:rsidRPr="006E6343">
        <w:rPr>
          <w:color w:val="353535"/>
          <w:sz w:val="19"/>
          <w:szCs w:val="19"/>
        </w:rPr>
        <w:t>Junge</w:t>
      </w:r>
      <w:proofErr w:type="spellEnd"/>
      <w:r w:rsidRPr="006E6343">
        <w:rPr>
          <w:color w:val="353535"/>
          <w:sz w:val="19"/>
          <w:szCs w:val="19"/>
        </w:rPr>
        <w:t xml:space="preserve"> W, </w:t>
      </w:r>
      <w:proofErr w:type="spellStart"/>
      <w:r w:rsidRPr="006E6343">
        <w:rPr>
          <w:color w:val="353535"/>
          <w:sz w:val="19"/>
          <w:szCs w:val="19"/>
        </w:rPr>
        <w:t>Kufner</w:t>
      </w:r>
      <w:proofErr w:type="spellEnd"/>
      <w:r w:rsidRPr="006E6343">
        <w:rPr>
          <w:color w:val="353535"/>
          <w:sz w:val="19"/>
          <w:szCs w:val="19"/>
        </w:rPr>
        <w:t xml:space="preserve"> A, </w:t>
      </w:r>
      <w:proofErr w:type="spellStart"/>
      <w:r w:rsidRPr="006E6343">
        <w:rPr>
          <w:color w:val="353535"/>
          <w:sz w:val="19"/>
          <w:szCs w:val="19"/>
        </w:rPr>
        <w:t>Wenning</w:t>
      </w:r>
      <w:proofErr w:type="spellEnd"/>
      <w:r w:rsidRPr="006E6343">
        <w:rPr>
          <w:color w:val="353535"/>
          <w:sz w:val="19"/>
          <w:szCs w:val="19"/>
        </w:rPr>
        <w:t xml:space="preserve"> A. Prevention of </w:t>
      </w:r>
      <w:proofErr w:type="spellStart"/>
      <w:r w:rsidRPr="006E6343">
        <w:rPr>
          <w:color w:val="353535"/>
          <w:sz w:val="19"/>
          <w:szCs w:val="19"/>
        </w:rPr>
        <w:t>radiocontrast</w:t>
      </w:r>
      <w:proofErr w:type="spellEnd"/>
      <w:r w:rsidRPr="006E6343">
        <w:rPr>
          <w:color w:val="353535"/>
          <w:sz w:val="19"/>
          <w:szCs w:val="19"/>
        </w:rPr>
        <w:t xml:space="preserve">-media- </w:t>
      </w:r>
      <w:r w:rsidRPr="006E6343">
        <w:rPr>
          <w:rFonts w:ascii="MS Mincho" w:eastAsia="MS Mincho" w:hAnsi="MS Mincho" w:cs="MS Mincho"/>
          <w:color w:val="353535"/>
          <w:sz w:val="19"/>
          <w:szCs w:val="19"/>
        </w:rPr>
        <w:t> </w:t>
      </w:r>
      <w:r w:rsidRPr="006E6343">
        <w:rPr>
          <w:color w:val="353535"/>
          <w:sz w:val="19"/>
          <w:szCs w:val="19"/>
        </w:rPr>
        <w:t xml:space="preserve">induced nephrotoxicity by the calcium channel blocker </w:t>
      </w:r>
      <w:proofErr w:type="spellStart"/>
      <w:r w:rsidRPr="006E6343">
        <w:rPr>
          <w:color w:val="353535"/>
          <w:sz w:val="19"/>
          <w:szCs w:val="19"/>
        </w:rPr>
        <w:t>nitrendipine</w:t>
      </w:r>
      <w:proofErr w:type="spellEnd"/>
      <w:r w:rsidRPr="006E6343">
        <w:rPr>
          <w:color w:val="353535"/>
          <w:sz w:val="19"/>
          <w:szCs w:val="19"/>
        </w:rPr>
        <w:t xml:space="preserve">: a prospective </w:t>
      </w:r>
      <w:r w:rsidRPr="006E6343">
        <w:rPr>
          <w:rFonts w:ascii="MS Mincho" w:eastAsia="MS Mincho" w:hAnsi="MS Mincho" w:cs="MS Mincho"/>
          <w:color w:val="353535"/>
          <w:sz w:val="19"/>
          <w:szCs w:val="19"/>
        </w:rPr>
        <w:t> </w:t>
      </w:r>
      <w:r w:rsidRPr="006E6343">
        <w:rPr>
          <w:color w:val="353535"/>
          <w:sz w:val="19"/>
          <w:szCs w:val="19"/>
        </w:rPr>
        <w:t xml:space="preserve">randomized clinical trial. </w:t>
      </w:r>
      <w:proofErr w:type="spellStart"/>
      <w:r w:rsidRPr="006E6343">
        <w:rPr>
          <w:color w:val="353535"/>
          <w:sz w:val="19"/>
          <w:szCs w:val="19"/>
        </w:rPr>
        <w:t>Nephrol</w:t>
      </w:r>
      <w:proofErr w:type="spellEnd"/>
      <w:r w:rsidRPr="006E6343">
        <w:rPr>
          <w:color w:val="353535"/>
          <w:sz w:val="19"/>
          <w:szCs w:val="19"/>
        </w:rPr>
        <w:t xml:space="preserve"> Dial Transplant 1989; 4: 1030–1036. </w:t>
      </w:r>
      <w:r w:rsidRPr="006E6343">
        <w:rPr>
          <w:rFonts w:ascii="MS Mincho" w:eastAsia="MS Mincho" w:hAnsi="MS Mincho" w:cs="MS Mincho"/>
          <w:color w:val="353535"/>
          <w:sz w:val="19"/>
          <w:szCs w:val="19"/>
        </w:rPr>
        <w:t> </w:t>
      </w:r>
    </w:p>
    <w:p w14:paraId="603F82E0"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Spangberg-Viklund</w:t>
      </w:r>
      <w:proofErr w:type="spellEnd"/>
      <w:r w:rsidRPr="006E6343">
        <w:rPr>
          <w:color w:val="353535"/>
          <w:sz w:val="19"/>
          <w:szCs w:val="19"/>
        </w:rPr>
        <w:t xml:space="preserve"> B, Berglund J, </w:t>
      </w:r>
      <w:proofErr w:type="spellStart"/>
      <w:r w:rsidRPr="006E6343">
        <w:rPr>
          <w:color w:val="353535"/>
          <w:sz w:val="19"/>
          <w:szCs w:val="19"/>
        </w:rPr>
        <w:t>Nikonoff</w:t>
      </w:r>
      <w:proofErr w:type="spellEnd"/>
      <w:r w:rsidRPr="006E6343">
        <w:rPr>
          <w:color w:val="353535"/>
          <w:sz w:val="19"/>
          <w:szCs w:val="19"/>
        </w:rPr>
        <w:t xml:space="preserve"> T et al. Does prophylactic treatment with </w:t>
      </w:r>
      <w:r w:rsidRPr="006E6343">
        <w:rPr>
          <w:rFonts w:ascii="MS Mincho" w:eastAsia="MS Mincho" w:hAnsi="MS Mincho" w:cs="MS Mincho"/>
          <w:color w:val="353535"/>
          <w:sz w:val="19"/>
          <w:szCs w:val="19"/>
        </w:rPr>
        <w:t> </w:t>
      </w:r>
      <w:proofErr w:type="spellStart"/>
      <w:r w:rsidRPr="006E6343">
        <w:rPr>
          <w:color w:val="353535"/>
          <w:sz w:val="19"/>
          <w:szCs w:val="19"/>
        </w:rPr>
        <w:t>felodipine</w:t>
      </w:r>
      <w:proofErr w:type="spellEnd"/>
      <w:r w:rsidRPr="006E6343">
        <w:rPr>
          <w:color w:val="353535"/>
          <w:sz w:val="19"/>
          <w:szCs w:val="19"/>
        </w:rPr>
        <w:t>, a calcium antagonist, prevent low-</w:t>
      </w:r>
      <w:proofErr w:type="spellStart"/>
      <w:r w:rsidRPr="006E6343">
        <w:rPr>
          <w:color w:val="353535"/>
          <w:sz w:val="19"/>
          <w:szCs w:val="19"/>
        </w:rPr>
        <w:t>osmolar</w:t>
      </w:r>
      <w:proofErr w:type="spellEnd"/>
      <w:r w:rsidRPr="006E6343">
        <w:rPr>
          <w:color w:val="353535"/>
          <w:sz w:val="19"/>
          <w:szCs w:val="19"/>
        </w:rPr>
        <w:t xml:space="preserve"> contrast-induced renal dysfunction in hydrated diabetic and </w:t>
      </w:r>
      <w:proofErr w:type="spellStart"/>
      <w:r w:rsidRPr="006E6343">
        <w:rPr>
          <w:color w:val="353535"/>
          <w:sz w:val="19"/>
          <w:szCs w:val="19"/>
        </w:rPr>
        <w:t>nondiabetic</w:t>
      </w:r>
      <w:proofErr w:type="spellEnd"/>
      <w:r w:rsidRPr="006E6343">
        <w:rPr>
          <w:color w:val="353535"/>
          <w:sz w:val="19"/>
          <w:szCs w:val="19"/>
        </w:rPr>
        <w:t xml:space="preserve"> patients with normal or moderately reduced renal function? </w:t>
      </w:r>
      <w:proofErr w:type="spellStart"/>
      <w:r w:rsidRPr="006E6343">
        <w:rPr>
          <w:color w:val="353535"/>
          <w:sz w:val="19"/>
          <w:szCs w:val="19"/>
        </w:rPr>
        <w:t>Scand</w:t>
      </w:r>
      <w:proofErr w:type="spellEnd"/>
      <w:r w:rsidRPr="006E6343">
        <w:rPr>
          <w:color w:val="353535"/>
          <w:sz w:val="19"/>
          <w:szCs w:val="19"/>
        </w:rPr>
        <w:t xml:space="preserve"> J </w:t>
      </w:r>
      <w:proofErr w:type="spellStart"/>
      <w:r w:rsidRPr="006E6343">
        <w:rPr>
          <w:color w:val="353535"/>
          <w:sz w:val="19"/>
          <w:szCs w:val="19"/>
        </w:rPr>
        <w:t>Urol</w:t>
      </w:r>
      <w:proofErr w:type="spellEnd"/>
      <w:r w:rsidRPr="006E6343">
        <w:rPr>
          <w:color w:val="353535"/>
          <w:sz w:val="19"/>
          <w:szCs w:val="19"/>
        </w:rPr>
        <w:t xml:space="preserve"> </w:t>
      </w:r>
      <w:proofErr w:type="spellStart"/>
      <w:r w:rsidRPr="006E6343">
        <w:rPr>
          <w:color w:val="353535"/>
          <w:sz w:val="19"/>
          <w:szCs w:val="19"/>
        </w:rPr>
        <w:t>Nephrol</w:t>
      </w:r>
      <w:proofErr w:type="spellEnd"/>
      <w:r w:rsidRPr="006E6343">
        <w:rPr>
          <w:color w:val="353535"/>
          <w:sz w:val="19"/>
          <w:szCs w:val="19"/>
        </w:rPr>
        <w:t xml:space="preserve"> 1996; 30: 63–68. </w:t>
      </w:r>
      <w:r w:rsidRPr="006E6343">
        <w:rPr>
          <w:rFonts w:ascii="MS Mincho" w:eastAsia="MS Mincho" w:hAnsi="MS Mincho" w:cs="MS Mincho"/>
          <w:color w:val="353535"/>
          <w:sz w:val="19"/>
          <w:szCs w:val="19"/>
        </w:rPr>
        <w:t> </w:t>
      </w:r>
    </w:p>
    <w:p w14:paraId="7F8CA463"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Arici</w:t>
      </w:r>
      <w:proofErr w:type="spellEnd"/>
      <w:r w:rsidRPr="006E6343">
        <w:rPr>
          <w:color w:val="353535"/>
          <w:sz w:val="19"/>
          <w:szCs w:val="19"/>
        </w:rPr>
        <w:t xml:space="preserve"> M, </w:t>
      </w:r>
      <w:proofErr w:type="spellStart"/>
      <w:r w:rsidRPr="006E6343">
        <w:rPr>
          <w:color w:val="353535"/>
          <w:sz w:val="19"/>
          <w:szCs w:val="19"/>
        </w:rPr>
        <w:t>Usalan</w:t>
      </w:r>
      <w:proofErr w:type="spellEnd"/>
      <w:r w:rsidRPr="006E6343">
        <w:rPr>
          <w:color w:val="353535"/>
          <w:sz w:val="19"/>
          <w:szCs w:val="19"/>
        </w:rPr>
        <w:t xml:space="preserve"> C, </w:t>
      </w:r>
      <w:proofErr w:type="spellStart"/>
      <w:r w:rsidRPr="006E6343">
        <w:rPr>
          <w:color w:val="353535"/>
          <w:sz w:val="19"/>
          <w:szCs w:val="19"/>
        </w:rPr>
        <w:t>Altun</w:t>
      </w:r>
      <w:proofErr w:type="spellEnd"/>
      <w:r w:rsidRPr="006E6343">
        <w:rPr>
          <w:color w:val="353535"/>
          <w:sz w:val="19"/>
          <w:szCs w:val="19"/>
        </w:rPr>
        <w:t xml:space="preserve"> B </w:t>
      </w:r>
      <w:proofErr w:type="gramStart"/>
      <w:r w:rsidRPr="006E6343">
        <w:rPr>
          <w:color w:val="353535"/>
          <w:sz w:val="19"/>
          <w:szCs w:val="19"/>
        </w:rPr>
        <w:t>et al.</w:t>
      </w:r>
      <w:proofErr w:type="gramEnd"/>
      <w:r w:rsidRPr="006E6343">
        <w:rPr>
          <w:color w:val="353535"/>
          <w:sz w:val="19"/>
          <w:szCs w:val="19"/>
        </w:rPr>
        <w:t xml:space="preserve"> </w:t>
      </w:r>
      <w:proofErr w:type="spellStart"/>
      <w:r w:rsidRPr="006E6343">
        <w:rPr>
          <w:color w:val="353535"/>
          <w:sz w:val="19"/>
          <w:szCs w:val="19"/>
        </w:rPr>
        <w:t>Radiocontrast</w:t>
      </w:r>
      <w:proofErr w:type="spellEnd"/>
      <w:r w:rsidRPr="006E6343">
        <w:rPr>
          <w:color w:val="353535"/>
          <w:sz w:val="19"/>
          <w:szCs w:val="19"/>
        </w:rPr>
        <w:t>-induced nephrotoxicity and urinary alpha-glutathione S-</w:t>
      </w:r>
      <w:proofErr w:type="spellStart"/>
      <w:r w:rsidRPr="006E6343">
        <w:rPr>
          <w:color w:val="353535"/>
          <w:sz w:val="19"/>
          <w:szCs w:val="19"/>
        </w:rPr>
        <w:t>transferase</w:t>
      </w:r>
      <w:proofErr w:type="spellEnd"/>
      <w:r w:rsidRPr="006E6343">
        <w:rPr>
          <w:color w:val="353535"/>
          <w:sz w:val="19"/>
          <w:szCs w:val="19"/>
        </w:rPr>
        <w:t xml:space="preserve"> levels: effect of amlodipine administration. </w:t>
      </w:r>
      <w:proofErr w:type="spellStart"/>
      <w:r w:rsidRPr="006E6343">
        <w:rPr>
          <w:color w:val="353535"/>
          <w:sz w:val="19"/>
          <w:szCs w:val="19"/>
        </w:rPr>
        <w:t>Int</w:t>
      </w:r>
      <w:proofErr w:type="spellEnd"/>
      <w:r w:rsidRPr="006E6343">
        <w:rPr>
          <w:color w:val="353535"/>
          <w:sz w:val="19"/>
          <w:szCs w:val="19"/>
        </w:rPr>
        <w:t xml:space="preserve"> J </w:t>
      </w:r>
      <w:proofErr w:type="spellStart"/>
      <w:r w:rsidRPr="006E6343">
        <w:rPr>
          <w:color w:val="353535"/>
          <w:sz w:val="19"/>
          <w:szCs w:val="19"/>
        </w:rPr>
        <w:t>Urol</w:t>
      </w:r>
      <w:proofErr w:type="spellEnd"/>
      <w:r w:rsidRPr="006E6343">
        <w:rPr>
          <w:color w:val="353535"/>
          <w:sz w:val="19"/>
          <w:szCs w:val="19"/>
        </w:rPr>
        <w:t xml:space="preserve"> </w:t>
      </w:r>
      <w:proofErr w:type="spellStart"/>
      <w:r w:rsidRPr="006E6343">
        <w:rPr>
          <w:color w:val="353535"/>
          <w:sz w:val="19"/>
          <w:szCs w:val="19"/>
        </w:rPr>
        <w:t>Nephrol</w:t>
      </w:r>
      <w:proofErr w:type="spellEnd"/>
      <w:r w:rsidRPr="006E6343">
        <w:rPr>
          <w:color w:val="353535"/>
          <w:sz w:val="19"/>
          <w:szCs w:val="19"/>
        </w:rPr>
        <w:t xml:space="preserve"> 2003; 35: </w:t>
      </w:r>
      <w:r w:rsidRPr="006E6343">
        <w:rPr>
          <w:color w:val="353535"/>
          <w:sz w:val="19"/>
          <w:szCs w:val="19"/>
        </w:rPr>
        <w:lastRenderedPageBreak/>
        <w:t xml:space="preserve">255–261. </w:t>
      </w:r>
      <w:r w:rsidRPr="006E6343">
        <w:rPr>
          <w:rFonts w:ascii="MS Mincho" w:eastAsia="MS Mincho" w:hAnsi="MS Mincho" w:cs="MS Mincho"/>
          <w:color w:val="353535"/>
          <w:sz w:val="19"/>
          <w:szCs w:val="19"/>
        </w:rPr>
        <w:t> </w:t>
      </w:r>
    </w:p>
    <w:p w14:paraId="518B6213"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r w:rsidRPr="006E6343">
        <w:rPr>
          <w:color w:val="353535"/>
          <w:sz w:val="19"/>
          <w:szCs w:val="19"/>
        </w:rPr>
        <w:t xml:space="preserve">Russo D, </w:t>
      </w:r>
      <w:proofErr w:type="spellStart"/>
      <w:r w:rsidRPr="006E6343">
        <w:rPr>
          <w:color w:val="353535"/>
          <w:sz w:val="19"/>
          <w:szCs w:val="19"/>
        </w:rPr>
        <w:t>Minutolo</w:t>
      </w:r>
      <w:proofErr w:type="spellEnd"/>
      <w:r w:rsidRPr="006E6343">
        <w:rPr>
          <w:color w:val="353535"/>
          <w:sz w:val="19"/>
          <w:szCs w:val="19"/>
        </w:rPr>
        <w:t xml:space="preserve"> R, </w:t>
      </w:r>
      <w:proofErr w:type="spellStart"/>
      <w:r w:rsidRPr="006E6343">
        <w:rPr>
          <w:color w:val="353535"/>
          <w:sz w:val="19"/>
          <w:szCs w:val="19"/>
        </w:rPr>
        <w:t>Cianciaruso</w:t>
      </w:r>
      <w:proofErr w:type="spellEnd"/>
      <w:r w:rsidRPr="006E6343">
        <w:rPr>
          <w:color w:val="353535"/>
          <w:sz w:val="19"/>
          <w:szCs w:val="19"/>
        </w:rPr>
        <w:t xml:space="preserve"> B et al. Early effects of contrast media on renal hemodynamics and tubular function in chronic renal failure. J Am </w:t>
      </w:r>
      <w:proofErr w:type="spellStart"/>
      <w:r w:rsidRPr="006E6343">
        <w:rPr>
          <w:color w:val="353535"/>
          <w:sz w:val="19"/>
          <w:szCs w:val="19"/>
        </w:rPr>
        <w:t>Soc</w:t>
      </w:r>
      <w:proofErr w:type="spellEnd"/>
      <w:r w:rsidRPr="006E6343">
        <w:rPr>
          <w:color w:val="353535"/>
          <w:sz w:val="19"/>
          <w:szCs w:val="19"/>
        </w:rPr>
        <w:t xml:space="preserve"> </w:t>
      </w:r>
      <w:proofErr w:type="spellStart"/>
      <w:r w:rsidRPr="006E6343">
        <w:rPr>
          <w:color w:val="353535"/>
          <w:sz w:val="19"/>
          <w:szCs w:val="19"/>
        </w:rPr>
        <w:t>Nephrol</w:t>
      </w:r>
      <w:proofErr w:type="spellEnd"/>
      <w:r w:rsidRPr="006E6343">
        <w:rPr>
          <w:color w:val="353535"/>
          <w:sz w:val="19"/>
          <w:szCs w:val="19"/>
        </w:rPr>
        <w:t xml:space="preserve"> 1995; 6: 1451–1458. </w:t>
      </w:r>
      <w:r w:rsidRPr="006E6343">
        <w:rPr>
          <w:rFonts w:ascii="MS Mincho" w:eastAsia="MS Mincho" w:hAnsi="MS Mincho" w:cs="MS Mincho"/>
          <w:color w:val="353535"/>
          <w:sz w:val="19"/>
          <w:szCs w:val="19"/>
        </w:rPr>
        <w:t> </w:t>
      </w:r>
    </w:p>
    <w:p w14:paraId="6B3E5355"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Brezis</w:t>
      </w:r>
      <w:proofErr w:type="spellEnd"/>
      <w:r w:rsidRPr="006E6343">
        <w:rPr>
          <w:color w:val="353535"/>
          <w:sz w:val="19"/>
          <w:szCs w:val="19"/>
        </w:rPr>
        <w:t xml:space="preserve"> M, Epstein FH. A closer look at </w:t>
      </w:r>
      <w:proofErr w:type="spellStart"/>
      <w:r w:rsidRPr="006E6343">
        <w:rPr>
          <w:color w:val="353535"/>
          <w:sz w:val="19"/>
          <w:szCs w:val="19"/>
        </w:rPr>
        <w:t>radiocontrast</w:t>
      </w:r>
      <w:proofErr w:type="spellEnd"/>
      <w:r w:rsidRPr="006E6343">
        <w:rPr>
          <w:color w:val="353535"/>
          <w:sz w:val="19"/>
          <w:szCs w:val="19"/>
        </w:rPr>
        <w:t xml:space="preserve">-induced nephropathy. N </w:t>
      </w:r>
      <w:proofErr w:type="spellStart"/>
      <w:r w:rsidRPr="006E6343">
        <w:rPr>
          <w:color w:val="353535"/>
          <w:sz w:val="19"/>
          <w:szCs w:val="19"/>
        </w:rPr>
        <w:t>Engl</w:t>
      </w:r>
      <w:proofErr w:type="spellEnd"/>
      <w:r w:rsidRPr="006E6343">
        <w:rPr>
          <w:color w:val="353535"/>
          <w:sz w:val="19"/>
          <w:szCs w:val="19"/>
        </w:rPr>
        <w:t xml:space="preserve"> J Med 1989;320: 179-81. </w:t>
      </w:r>
      <w:r w:rsidRPr="006E6343">
        <w:rPr>
          <w:rFonts w:ascii="MS Mincho" w:eastAsia="MS Mincho" w:hAnsi="MS Mincho" w:cs="MS Mincho"/>
          <w:color w:val="353535"/>
          <w:sz w:val="19"/>
          <w:szCs w:val="19"/>
        </w:rPr>
        <w:t> </w:t>
      </w:r>
    </w:p>
    <w:p w14:paraId="510FDB50" w14:textId="77777777" w:rsidR="006E6343" w:rsidRPr="006E6343" w:rsidRDefault="006E6343" w:rsidP="006E6343">
      <w:pPr>
        <w:widowControl w:val="0"/>
        <w:tabs>
          <w:tab w:val="left" w:pos="220"/>
          <w:tab w:val="left" w:pos="720"/>
        </w:tabs>
        <w:autoSpaceDE w:val="0"/>
        <w:autoSpaceDN w:val="0"/>
        <w:adjustRightInd w:val="0"/>
        <w:spacing w:after="100" w:afterAutospacing="1"/>
        <w:jc w:val="left"/>
        <w:rPr>
          <w:color w:val="353535"/>
          <w:sz w:val="19"/>
          <w:szCs w:val="19"/>
        </w:rPr>
      </w:pPr>
      <w:proofErr w:type="spellStart"/>
      <w:r w:rsidRPr="006E6343">
        <w:rPr>
          <w:color w:val="353535"/>
          <w:sz w:val="19"/>
          <w:szCs w:val="19"/>
        </w:rPr>
        <w:t>Loutzenhiser</w:t>
      </w:r>
      <w:proofErr w:type="spellEnd"/>
      <w:r w:rsidRPr="006E6343">
        <w:rPr>
          <w:color w:val="353535"/>
          <w:sz w:val="19"/>
          <w:szCs w:val="19"/>
        </w:rPr>
        <w:t xml:space="preserve"> R, Epstein M. Effects of calcium antagonists on renal hemodynamics. Am J </w:t>
      </w:r>
      <w:proofErr w:type="spellStart"/>
      <w:r w:rsidRPr="006E6343">
        <w:rPr>
          <w:color w:val="353535"/>
          <w:sz w:val="19"/>
          <w:szCs w:val="19"/>
        </w:rPr>
        <w:t>Physiol</w:t>
      </w:r>
      <w:proofErr w:type="spellEnd"/>
      <w:r w:rsidRPr="006E6343">
        <w:rPr>
          <w:color w:val="353535"/>
          <w:sz w:val="19"/>
          <w:szCs w:val="19"/>
        </w:rPr>
        <w:t xml:space="preserve"> 1985;</w:t>
      </w:r>
      <w:proofErr w:type="gramStart"/>
      <w:r w:rsidRPr="006E6343">
        <w:rPr>
          <w:color w:val="353535"/>
          <w:sz w:val="19"/>
          <w:szCs w:val="19"/>
        </w:rPr>
        <w:t>249:F</w:t>
      </w:r>
      <w:proofErr w:type="gramEnd"/>
      <w:r w:rsidRPr="006E6343">
        <w:rPr>
          <w:color w:val="353535"/>
          <w:sz w:val="19"/>
          <w:szCs w:val="19"/>
        </w:rPr>
        <w:t xml:space="preserve">619-29. </w:t>
      </w:r>
      <w:r w:rsidRPr="006E6343">
        <w:rPr>
          <w:rFonts w:ascii="MS Mincho" w:eastAsia="MS Mincho" w:hAnsi="MS Mincho" w:cs="MS Mincho"/>
          <w:color w:val="353535"/>
          <w:sz w:val="19"/>
          <w:szCs w:val="19"/>
        </w:rPr>
        <w:t> </w:t>
      </w:r>
    </w:p>
    <w:p w14:paraId="685D7A94" w14:textId="77777777" w:rsidR="006E6343" w:rsidRDefault="006E6343" w:rsidP="006E6343">
      <w:pPr>
        <w:widowControl w:val="0"/>
        <w:tabs>
          <w:tab w:val="left" w:pos="220"/>
          <w:tab w:val="left" w:pos="720"/>
        </w:tabs>
        <w:autoSpaceDE w:val="0"/>
        <w:autoSpaceDN w:val="0"/>
        <w:adjustRightInd w:val="0"/>
        <w:spacing w:after="100" w:afterAutospacing="1"/>
        <w:jc w:val="left"/>
        <w:rPr>
          <w:color w:val="353535"/>
          <w:sz w:val="32"/>
          <w:szCs w:val="32"/>
        </w:rPr>
      </w:pPr>
      <w:r w:rsidRPr="006E6343">
        <w:rPr>
          <w:color w:val="353535"/>
          <w:sz w:val="19"/>
          <w:szCs w:val="19"/>
        </w:rPr>
        <w:t xml:space="preserve">Epstein M. Calcium antagonists and renal protection: current status and future perspectives. Arch Intern Med 1992;152: 1573-84. </w:t>
      </w:r>
      <w:r>
        <w:rPr>
          <w:rFonts w:ascii="MS Mincho" w:eastAsia="MS Mincho" w:hAnsi="MS Mincho" w:cs="MS Mincho"/>
          <w:color w:val="353535"/>
          <w:sz w:val="32"/>
          <w:szCs w:val="32"/>
        </w:rPr>
        <w:t> </w:t>
      </w:r>
    </w:p>
    <w:p w14:paraId="65347CE5"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29A84412" w14:textId="3C017DE9" w:rsidR="00861508" w:rsidRPr="008525B4" w:rsidRDefault="006E6343" w:rsidP="008525B4">
      <w:pPr>
        <w:jc w:val="both"/>
        <w:rPr>
          <w:sz w:val="19"/>
          <w:szCs w:val="19"/>
        </w:rPr>
      </w:pPr>
      <w:r>
        <w:rPr>
          <w:sz w:val="19"/>
          <w:szCs w:val="19"/>
        </w:rPr>
        <w:t>M</w:t>
      </w:r>
      <w:r w:rsidR="009731FA">
        <w:rPr>
          <w:sz w:val="19"/>
          <w:szCs w:val="19"/>
        </w:rPr>
        <w:t>ichell</w:t>
      </w:r>
      <w:r w:rsidR="008525B4">
        <w:rPr>
          <w:sz w:val="19"/>
          <w:szCs w:val="19"/>
        </w:rPr>
        <w:t>e</w:t>
      </w:r>
      <w:r w:rsidR="009731FA">
        <w:rPr>
          <w:sz w:val="19"/>
          <w:szCs w:val="19"/>
        </w:rPr>
        <w:t xml:space="preserve"> </w:t>
      </w:r>
      <w:r w:rsidR="008525B4">
        <w:rPr>
          <w:sz w:val="19"/>
          <w:szCs w:val="19"/>
        </w:rPr>
        <w:t xml:space="preserve">D. </w:t>
      </w:r>
      <w:proofErr w:type="spellStart"/>
      <w:r w:rsidR="009731FA">
        <w:rPr>
          <w:sz w:val="19"/>
          <w:szCs w:val="19"/>
        </w:rPr>
        <w:t>Ardales</w:t>
      </w:r>
      <w:proofErr w:type="spellEnd"/>
      <w:r w:rsidR="009731FA">
        <w:rPr>
          <w:sz w:val="19"/>
          <w:szCs w:val="19"/>
        </w:rPr>
        <w:t xml:space="preserve"> has completed her</w:t>
      </w:r>
      <w:r>
        <w:rPr>
          <w:sz w:val="19"/>
          <w:szCs w:val="19"/>
        </w:rPr>
        <w:t xml:space="preserve"> MD</w:t>
      </w:r>
      <w:r w:rsidR="00861508" w:rsidRPr="0005164C">
        <w:rPr>
          <w:sz w:val="19"/>
          <w:szCs w:val="19"/>
        </w:rPr>
        <w:t xml:space="preserve"> at the age of 25 years from </w:t>
      </w:r>
      <w:r w:rsidR="009731FA">
        <w:rPr>
          <w:sz w:val="19"/>
          <w:szCs w:val="19"/>
        </w:rPr>
        <w:t>University of the</w:t>
      </w:r>
      <w:r w:rsidR="008525B4">
        <w:rPr>
          <w:sz w:val="19"/>
          <w:szCs w:val="19"/>
        </w:rPr>
        <w:t xml:space="preserve"> East</w:t>
      </w:r>
      <w:bookmarkStart w:id="2" w:name="_GoBack"/>
      <w:bookmarkEnd w:id="2"/>
      <w:r w:rsidR="008525B4">
        <w:rPr>
          <w:sz w:val="19"/>
          <w:szCs w:val="19"/>
        </w:rPr>
        <w:t xml:space="preserve"> Ramon Magsaysay Memorial Medical Cen</w:t>
      </w:r>
      <w:r w:rsidR="009731FA">
        <w:rPr>
          <w:sz w:val="19"/>
          <w:szCs w:val="19"/>
        </w:rPr>
        <w:t>ter</w:t>
      </w:r>
      <w:r w:rsidR="00861508" w:rsidRPr="0005164C">
        <w:rPr>
          <w:sz w:val="19"/>
          <w:szCs w:val="19"/>
        </w:rPr>
        <w:t xml:space="preserve">. </w:t>
      </w:r>
      <w:r w:rsidR="009731FA">
        <w:rPr>
          <w:sz w:val="19"/>
          <w:szCs w:val="19"/>
        </w:rPr>
        <w:t>She is</w:t>
      </w:r>
      <w:r w:rsidR="008525B4">
        <w:rPr>
          <w:sz w:val="19"/>
          <w:szCs w:val="19"/>
        </w:rPr>
        <w:t xml:space="preserve"> currently</w:t>
      </w:r>
      <w:r w:rsidR="009731FA">
        <w:rPr>
          <w:sz w:val="19"/>
          <w:szCs w:val="19"/>
        </w:rPr>
        <w:t xml:space="preserve"> an internal medicine resident at </w:t>
      </w:r>
      <w:proofErr w:type="spellStart"/>
      <w:r w:rsidR="009731FA">
        <w:rPr>
          <w:sz w:val="19"/>
          <w:szCs w:val="19"/>
        </w:rPr>
        <w:t>Ospital</w:t>
      </w:r>
      <w:proofErr w:type="spellEnd"/>
      <w:r w:rsidR="009731FA">
        <w:rPr>
          <w:sz w:val="19"/>
          <w:szCs w:val="19"/>
        </w:rPr>
        <w:t xml:space="preserve"> ng Makati.</w:t>
      </w:r>
      <w:r w:rsidR="00861508" w:rsidRPr="0005164C">
        <w:rPr>
          <w:sz w:val="19"/>
          <w:szCs w:val="19"/>
        </w:rPr>
        <w:tab/>
      </w:r>
      <w:r w:rsidR="008525B4">
        <w:rPr>
          <w:sz w:val="19"/>
          <w:szCs w:val="19"/>
        </w:rPr>
        <w:t xml:space="preserve">Frederick E. </w:t>
      </w:r>
      <w:proofErr w:type="spellStart"/>
      <w:r w:rsidR="008525B4">
        <w:rPr>
          <w:sz w:val="19"/>
          <w:szCs w:val="19"/>
        </w:rPr>
        <w:t>Ogbac</w:t>
      </w:r>
      <w:proofErr w:type="spellEnd"/>
      <w:r w:rsidR="008525B4">
        <w:rPr>
          <w:sz w:val="19"/>
          <w:szCs w:val="19"/>
        </w:rPr>
        <w:t xml:space="preserve"> is an Interventional Nephrologist  specializing in </w:t>
      </w:r>
      <w:r w:rsidR="008525B4" w:rsidRPr="008525B4">
        <w:rPr>
          <w:sz w:val="19"/>
          <w:szCs w:val="19"/>
        </w:rPr>
        <w:t>HD catheter insertion, PD catheter insertion, kidney biopsy, and immature fistula salvage procedures.</w:t>
      </w:r>
      <w:r w:rsidR="00861508" w:rsidRPr="0005164C">
        <w:rPr>
          <w:sz w:val="19"/>
          <w:szCs w:val="19"/>
        </w:rPr>
        <w:br/>
      </w:r>
    </w:p>
    <w:p w14:paraId="37482914"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665CA321" w14:textId="77777777" w:rsidR="00272C82" w:rsidRPr="0005164C" w:rsidRDefault="00272C82" w:rsidP="00861508">
      <w:pPr>
        <w:autoSpaceDE w:val="0"/>
        <w:autoSpaceDN w:val="0"/>
        <w:adjustRightInd w:val="0"/>
        <w:jc w:val="left"/>
        <w:rPr>
          <w:sz w:val="19"/>
          <w:szCs w:val="19"/>
          <w:lang w:val="en-NZ"/>
        </w:rPr>
      </w:pPr>
    </w:p>
    <w:p w14:paraId="0AEB120B" w14:textId="77777777" w:rsidR="00272C82" w:rsidRPr="0005164C" w:rsidRDefault="009731FA" w:rsidP="00861508">
      <w:pPr>
        <w:autoSpaceDE w:val="0"/>
        <w:autoSpaceDN w:val="0"/>
        <w:adjustRightInd w:val="0"/>
        <w:jc w:val="left"/>
        <w:rPr>
          <w:sz w:val="19"/>
          <w:szCs w:val="19"/>
          <w:lang w:val="en-NZ"/>
        </w:rPr>
      </w:pPr>
      <w:r>
        <w:rPr>
          <w:noProof/>
          <w:sz w:val="19"/>
          <w:szCs w:val="19"/>
        </w:rPr>
        <w:drawing>
          <wp:inline distT="0" distB="0" distL="0" distR="0" wp14:anchorId="38305147" wp14:editId="30AAEE61">
            <wp:extent cx="1144746" cy="1005239"/>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file pic.jpg"/>
                    <pic:cNvPicPr/>
                  </pic:nvPicPr>
                  <pic:blipFill>
                    <a:blip r:embed="rId6">
                      <a:extLst>
                        <a:ext uri="{28A0092B-C50C-407E-A947-70E740481C1C}">
                          <a14:useLocalDpi xmlns:a14="http://schemas.microsoft.com/office/drawing/2010/main" val="0"/>
                        </a:ext>
                      </a:extLst>
                    </a:blip>
                    <a:stretch>
                      <a:fillRect/>
                    </a:stretch>
                  </pic:blipFill>
                  <pic:spPr>
                    <a:xfrm>
                      <a:off x="0" y="0"/>
                      <a:ext cx="1174034" cy="1030958"/>
                    </a:xfrm>
                    <a:prstGeom prst="rect">
                      <a:avLst/>
                    </a:prstGeom>
                  </pic:spPr>
                </pic:pic>
              </a:graphicData>
            </a:graphic>
          </wp:inline>
        </w:drawing>
      </w:r>
      <w:r w:rsidR="00861508" w:rsidRPr="0005164C">
        <w:rPr>
          <w:sz w:val="19"/>
          <w:szCs w:val="19"/>
          <w:lang w:val="en-NZ"/>
        </w:rPr>
        <w:br/>
      </w:r>
    </w:p>
    <w:p w14:paraId="771FD66E" w14:textId="7777777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9731FA">
        <w:rPr>
          <w:sz w:val="19"/>
          <w:szCs w:val="19"/>
          <w:lang w:val="en-NZ"/>
        </w:rPr>
        <w:t xml:space="preserve"> Michelle D. </w:t>
      </w:r>
      <w:proofErr w:type="spellStart"/>
      <w:r w:rsidR="009731FA">
        <w:rPr>
          <w:sz w:val="19"/>
          <w:szCs w:val="19"/>
          <w:lang w:val="en-NZ"/>
        </w:rPr>
        <w:t>Ardales</w:t>
      </w:r>
      <w:proofErr w:type="spellEnd"/>
    </w:p>
    <w:p w14:paraId="1B724122" w14:textId="77777777" w:rsidR="009731FA" w:rsidRDefault="00861508" w:rsidP="00861508">
      <w:pPr>
        <w:autoSpaceDE w:val="0"/>
        <w:autoSpaceDN w:val="0"/>
        <w:adjustRightInd w:val="0"/>
        <w:jc w:val="left"/>
        <w:rPr>
          <w:sz w:val="19"/>
          <w:szCs w:val="19"/>
          <w:lang w:val="en-NZ"/>
        </w:rPr>
      </w:pPr>
      <w:r w:rsidRPr="0005164C">
        <w:rPr>
          <w:sz w:val="19"/>
          <w:szCs w:val="19"/>
          <w:lang w:val="en-NZ"/>
        </w:rPr>
        <w:t>Contact number:</w:t>
      </w:r>
      <w:r w:rsidR="009731FA">
        <w:rPr>
          <w:sz w:val="19"/>
          <w:szCs w:val="19"/>
          <w:lang w:val="en-NZ"/>
        </w:rPr>
        <w:t xml:space="preserve"> 639177207689</w:t>
      </w:r>
      <w:r w:rsidRPr="0005164C">
        <w:rPr>
          <w:sz w:val="19"/>
          <w:szCs w:val="19"/>
          <w:lang w:val="en-NZ"/>
        </w:rPr>
        <w:br/>
      </w:r>
      <w:r w:rsidR="009731FA">
        <w:rPr>
          <w:sz w:val="19"/>
          <w:szCs w:val="19"/>
          <w:lang w:val="en-NZ"/>
        </w:rPr>
        <w:t>Email ad: michelleardalesmd@gmail.com</w:t>
      </w:r>
    </w:p>
    <w:p w14:paraId="093982E8"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9731FA">
        <w:rPr>
          <w:sz w:val="19"/>
          <w:szCs w:val="19"/>
          <w:lang w:val="en-NZ"/>
        </w:rPr>
        <w:t xml:space="preserve"> Acute Kidney Failure</w:t>
      </w:r>
      <w:r w:rsidR="009731FA">
        <w:rPr>
          <w:sz w:val="19"/>
          <w:szCs w:val="19"/>
          <w:lang w:val="en-NZ"/>
        </w:rPr>
        <w:br/>
        <w:t xml:space="preserve">Category: </w:t>
      </w:r>
      <w:r w:rsidRPr="0005164C">
        <w:rPr>
          <w:sz w:val="19"/>
          <w:szCs w:val="19"/>
          <w:lang w:val="en-NZ"/>
        </w:rPr>
        <w:t>Oral presentation</w:t>
      </w:r>
    </w:p>
    <w:p w14:paraId="7E5FB1AE"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9731FA">
        <w:rPr>
          <w:sz w:val="18"/>
          <w:szCs w:val="18"/>
          <w:lang w:val="en-IN"/>
        </w:rPr>
        <w:t xml:space="preserve"> EC3320144</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Gautami">
    <w:panose1 w:val="00000000000000000000"/>
    <w:charset w:val="01"/>
    <w:family w:val="roman"/>
    <w:notTrueType/>
    <w:pitch w:val="variable"/>
  </w:font>
  <w:font w:name="MS PGothic">
    <w:panose1 w:val="020B0600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690B1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4">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8"/>
  </w:num>
  <w:num w:numId="2">
    <w:abstractNumId w:val="15"/>
  </w:num>
  <w:num w:numId="3">
    <w:abstractNumId w:val="6"/>
  </w:num>
  <w:num w:numId="4">
    <w:abstractNumId w:val="10"/>
  </w:num>
  <w:num w:numId="5">
    <w:abstractNumId w:val="10"/>
  </w:num>
  <w:num w:numId="6">
    <w:abstractNumId w:val="10"/>
  </w:num>
  <w:num w:numId="7">
    <w:abstractNumId w:val="10"/>
  </w:num>
  <w:num w:numId="8">
    <w:abstractNumId w:val="12"/>
  </w:num>
  <w:num w:numId="9">
    <w:abstractNumId w:val="16"/>
  </w:num>
  <w:num w:numId="10">
    <w:abstractNumId w:val="9"/>
  </w:num>
  <w:num w:numId="11">
    <w:abstractNumId w:val="5"/>
  </w:num>
  <w:num w:numId="12">
    <w:abstractNumId w:val="19"/>
  </w:num>
  <w:num w:numId="13">
    <w:abstractNumId w:val="11"/>
  </w:num>
  <w:num w:numId="14">
    <w:abstractNumId w:val="13"/>
  </w:num>
  <w:num w:numId="15">
    <w:abstractNumId w:val="7"/>
    <w:lvlOverride w:ilvl="0">
      <w:startOverride w:val="1"/>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4"/>
  </w:num>
  <w:num w:numId="21">
    <w:abstractNumId w:val="3"/>
  </w:num>
  <w:num w:numId="22">
    <w:abstractNumId w:val="14"/>
  </w:num>
  <w:num w:numId="23">
    <w:abstractNumId w:val="17"/>
  </w:num>
  <w:num w:numId="24">
    <w:abstractNumId w:val="18"/>
  </w:num>
  <w:num w:numId="25">
    <w:abstractNumId w:val="2"/>
  </w:num>
  <w:num w:numId="26">
    <w:abstractNumId w:val="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B4641"/>
    <w:rsid w:val="0010711E"/>
    <w:rsid w:val="00127EDD"/>
    <w:rsid w:val="002043C0"/>
    <w:rsid w:val="00272C82"/>
    <w:rsid w:val="00276735"/>
    <w:rsid w:val="002864A3"/>
    <w:rsid w:val="002B3B81"/>
    <w:rsid w:val="002C1306"/>
    <w:rsid w:val="00351E9B"/>
    <w:rsid w:val="003A055E"/>
    <w:rsid w:val="003A47B5"/>
    <w:rsid w:val="003A59A6"/>
    <w:rsid w:val="003C0794"/>
    <w:rsid w:val="004059FE"/>
    <w:rsid w:val="004227FF"/>
    <w:rsid w:val="004445B3"/>
    <w:rsid w:val="005B520E"/>
    <w:rsid w:val="005B535B"/>
    <w:rsid w:val="006108A4"/>
    <w:rsid w:val="00663E31"/>
    <w:rsid w:val="006C4648"/>
    <w:rsid w:val="006E6343"/>
    <w:rsid w:val="0072064C"/>
    <w:rsid w:val="007442B3"/>
    <w:rsid w:val="00753F7B"/>
    <w:rsid w:val="0078398E"/>
    <w:rsid w:val="00787C5A"/>
    <w:rsid w:val="007919DE"/>
    <w:rsid w:val="007C0308"/>
    <w:rsid w:val="008014D2"/>
    <w:rsid w:val="008054BC"/>
    <w:rsid w:val="00812538"/>
    <w:rsid w:val="00841147"/>
    <w:rsid w:val="008525B4"/>
    <w:rsid w:val="00861508"/>
    <w:rsid w:val="00883A50"/>
    <w:rsid w:val="008A55B5"/>
    <w:rsid w:val="008A75C8"/>
    <w:rsid w:val="00907876"/>
    <w:rsid w:val="009731FA"/>
    <w:rsid w:val="0097508D"/>
    <w:rsid w:val="009D49B8"/>
    <w:rsid w:val="00A510F7"/>
    <w:rsid w:val="00AC6519"/>
    <w:rsid w:val="00CB1404"/>
    <w:rsid w:val="00CB66E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00F61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openaccessjournals.com/articles/major-risk-factors-for-atherosclerosis-and-metabolic-syndrome-the-uhs-12178.html" TargetMode="External"/><Relationship Id="rId6" Type="http://schemas.openxmlformats.org/officeDocument/2006/relationships/image" Target="media/image1.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752</Words>
  <Characters>4293</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5035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Microsoft Office User</cp:lastModifiedBy>
  <cp:revision>2</cp:revision>
  <dcterms:created xsi:type="dcterms:W3CDTF">2018-02-13T04:57:00Z</dcterms:created>
  <dcterms:modified xsi:type="dcterms:W3CDTF">2018-02-13T04:57:00Z</dcterms:modified>
</cp:coreProperties>
</file>