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AE0" w:rsidRPr="008B7AE0" w:rsidRDefault="008B7AE0" w:rsidP="008B7AE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8B7AE0">
        <w:rPr>
          <w:rFonts w:ascii="Arial" w:hAnsi="Arial" w:cs="Arial"/>
          <w:b/>
          <w:sz w:val="24"/>
          <w:szCs w:val="24"/>
        </w:rPr>
        <w:t xml:space="preserve">Survival and Predictors among Preterm Neonates Admitted in University of Gondar Comprehensive Specialized Hospital Neonatal Intensive Care Unit, Northwest Ethiopia. </w:t>
      </w:r>
    </w:p>
    <w:p w:rsidR="008B7AE0" w:rsidRPr="008B7AE0" w:rsidRDefault="008B7AE0" w:rsidP="008B7AE0">
      <w:pPr>
        <w:pStyle w:val="Default"/>
        <w:spacing w:line="360" w:lineRule="auto"/>
        <w:rPr>
          <w:rFonts w:ascii="Arial" w:hAnsi="Arial" w:cs="Arial"/>
          <w:vertAlign w:val="superscript"/>
        </w:rPr>
      </w:pPr>
      <w:proofErr w:type="spellStart"/>
      <w:r w:rsidRPr="008B7AE0">
        <w:rPr>
          <w:rFonts w:ascii="Arial" w:hAnsi="Arial" w:cs="Arial"/>
        </w:rPr>
        <w:t>Ayenew</w:t>
      </w:r>
      <w:proofErr w:type="spellEnd"/>
      <w:r w:rsidRPr="008B7AE0">
        <w:rPr>
          <w:rFonts w:ascii="Arial" w:hAnsi="Arial" w:cs="Arial"/>
        </w:rPr>
        <w:t xml:space="preserve"> </w:t>
      </w:r>
      <w:proofErr w:type="spellStart"/>
      <w:r w:rsidRPr="008B7AE0">
        <w:rPr>
          <w:rFonts w:ascii="Arial" w:hAnsi="Arial" w:cs="Arial"/>
        </w:rPr>
        <w:t>Engida</w:t>
      </w:r>
      <w:proofErr w:type="spellEnd"/>
      <w:r w:rsidRPr="008B7AE0">
        <w:rPr>
          <w:rFonts w:ascii="Arial" w:hAnsi="Arial" w:cs="Arial"/>
        </w:rPr>
        <w:t xml:space="preserve"> </w:t>
      </w:r>
      <w:proofErr w:type="spellStart"/>
      <w:r w:rsidRPr="008B7AE0">
        <w:rPr>
          <w:rFonts w:ascii="Arial" w:hAnsi="Arial" w:cs="Arial"/>
        </w:rPr>
        <w:t>Yismaw</w:t>
      </w:r>
      <w:proofErr w:type="spellEnd"/>
      <w:r w:rsidRPr="008B7AE0">
        <w:rPr>
          <w:rFonts w:ascii="Arial" w:hAnsi="Arial" w:cs="Arial"/>
        </w:rPr>
        <w:t xml:space="preserve"> </w:t>
      </w:r>
      <w:r w:rsidRPr="008B7AE0">
        <w:rPr>
          <w:rFonts w:ascii="Arial" w:hAnsi="Arial" w:cs="Arial"/>
          <w:vertAlign w:val="superscript"/>
        </w:rPr>
        <w:t xml:space="preserve">1* </w:t>
      </w:r>
    </w:p>
    <w:p w:rsidR="008B7AE0" w:rsidRPr="008B7AE0" w:rsidRDefault="008B7AE0" w:rsidP="008B7AE0">
      <w:pPr>
        <w:pStyle w:val="Default"/>
        <w:spacing w:line="360" w:lineRule="auto"/>
        <w:rPr>
          <w:rFonts w:ascii="Arial" w:hAnsi="Arial" w:cs="Arial"/>
        </w:rPr>
      </w:pPr>
      <w:hyperlink r:id="rId4" w:history="1">
        <w:r w:rsidRPr="008B7AE0">
          <w:rPr>
            <w:rStyle w:val="Hyperlink"/>
            <w:rFonts w:ascii="Arial" w:hAnsi="Arial" w:cs="Arial"/>
          </w:rPr>
          <w:t>(Email: ayenewe07@gmail.com</w:t>
        </w:r>
      </w:hyperlink>
      <w:r w:rsidRPr="008B7AE0">
        <w:rPr>
          <w:rStyle w:val="Hyperlink"/>
          <w:rFonts w:ascii="Arial" w:hAnsi="Arial" w:cs="Arial"/>
        </w:rPr>
        <w:t>)</w:t>
      </w:r>
    </w:p>
    <w:p w:rsidR="008B7AE0" w:rsidRPr="008B7AE0" w:rsidRDefault="008B7AE0" w:rsidP="008B7AE0">
      <w:pPr>
        <w:pStyle w:val="NoSpacing"/>
        <w:spacing w:line="360" w:lineRule="auto"/>
        <w:rPr>
          <w:rFonts w:ascii="Arial" w:eastAsia="Arial" w:hAnsi="Arial" w:cs="Arial"/>
          <w:sz w:val="24"/>
          <w:szCs w:val="24"/>
          <w:vertAlign w:val="superscript"/>
        </w:rPr>
      </w:pPr>
      <w:r w:rsidRPr="008B7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B7AE0">
        <w:rPr>
          <w:rFonts w:ascii="Arial" w:hAnsi="Arial" w:cs="Arial"/>
          <w:bCs/>
          <w:sz w:val="24"/>
          <w:szCs w:val="24"/>
        </w:rPr>
        <w:t>Abebaw</w:t>
      </w:r>
      <w:proofErr w:type="spellEnd"/>
      <w:r w:rsidRPr="008B7AE0">
        <w:rPr>
          <w:rFonts w:ascii="Arial" w:hAnsi="Arial" w:cs="Arial"/>
          <w:bCs/>
          <w:sz w:val="24"/>
          <w:szCs w:val="24"/>
        </w:rPr>
        <w:t xml:space="preserve"> Addis Gelagay</w:t>
      </w:r>
      <w:r w:rsidRPr="008B7AE0">
        <w:rPr>
          <w:rFonts w:ascii="Arial" w:hAnsi="Arial" w:cs="Arial"/>
          <w:bCs/>
          <w:sz w:val="24"/>
          <w:szCs w:val="24"/>
          <w:vertAlign w:val="superscript"/>
        </w:rPr>
        <w:t>2</w:t>
      </w:r>
      <w:r w:rsidRPr="008B7AE0">
        <w:rPr>
          <w:rFonts w:ascii="Arial" w:eastAsia="Arial" w:hAnsi="Arial" w:cs="Arial"/>
          <w:sz w:val="24"/>
          <w:szCs w:val="24"/>
        </w:rPr>
        <w:t>,</w:t>
      </w:r>
      <w:r w:rsidRPr="008B7AE0">
        <w:rPr>
          <w:rFonts w:ascii="Arial" w:eastAsia="Arial" w:hAnsi="Arial" w:cs="Arial"/>
          <w:sz w:val="24"/>
          <w:szCs w:val="24"/>
          <w:vertAlign w:val="superscript"/>
        </w:rPr>
        <w:t xml:space="preserve"> </w:t>
      </w:r>
    </w:p>
    <w:p w:rsidR="008B7AE0" w:rsidRPr="008B7AE0" w:rsidRDefault="008B7AE0" w:rsidP="008B7AE0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  <w:r w:rsidRPr="008B7AE0">
        <w:rPr>
          <w:rFonts w:ascii="Arial" w:eastAsia="Arial" w:hAnsi="Arial" w:cs="Arial"/>
          <w:color w:val="4472C4" w:themeColor="accent5"/>
          <w:sz w:val="24"/>
          <w:szCs w:val="24"/>
        </w:rPr>
        <w:t>(</w:t>
      </w:r>
      <w:r w:rsidRPr="008B7AE0">
        <w:rPr>
          <w:rFonts w:ascii="Arial" w:hAnsi="Arial" w:cs="Arial"/>
          <w:color w:val="4472C4" w:themeColor="accent5"/>
          <w:sz w:val="24"/>
          <w:szCs w:val="24"/>
          <w:u w:val="single"/>
        </w:rPr>
        <w:t xml:space="preserve">Email: </w:t>
      </w:r>
      <w:hyperlink r:id="rId5" w:history="1">
        <w:r w:rsidRPr="008B7AE0">
          <w:rPr>
            <w:rStyle w:val="Hyperlink"/>
            <w:rFonts w:ascii="Arial" w:hAnsi="Arial" w:cs="Arial"/>
            <w:color w:val="4472C4" w:themeColor="accent5"/>
            <w:sz w:val="24"/>
            <w:szCs w:val="24"/>
          </w:rPr>
          <w:t>abebaw.addis@gmail.com</w:t>
        </w:r>
      </w:hyperlink>
      <w:r w:rsidRPr="008B7AE0">
        <w:rPr>
          <w:rFonts w:ascii="Arial" w:hAnsi="Arial" w:cs="Arial"/>
          <w:color w:val="5B9BD5" w:themeColor="accent1"/>
          <w:sz w:val="24"/>
          <w:szCs w:val="24"/>
          <w:u w:val="single"/>
        </w:rPr>
        <w:t>)</w:t>
      </w:r>
    </w:p>
    <w:p w:rsidR="008B7AE0" w:rsidRPr="008B7AE0" w:rsidRDefault="008B7AE0" w:rsidP="008B7AE0">
      <w:pPr>
        <w:pStyle w:val="Default"/>
        <w:spacing w:line="360" w:lineRule="auto"/>
        <w:rPr>
          <w:rFonts w:ascii="Arial" w:eastAsiaTheme="minorEastAsia" w:hAnsi="Arial" w:cs="Arial"/>
          <w:bCs/>
        </w:rPr>
      </w:pPr>
      <w:proofErr w:type="spellStart"/>
      <w:r w:rsidRPr="008B7AE0">
        <w:rPr>
          <w:rFonts w:ascii="Arial" w:eastAsiaTheme="minorEastAsia" w:hAnsi="Arial" w:cs="Arial"/>
          <w:bCs/>
        </w:rPr>
        <w:t>Malede</w:t>
      </w:r>
      <w:proofErr w:type="spellEnd"/>
      <w:r w:rsidRPr="008B7AE0">
        <w:rPr>
          <w:rFonts w:ascii="Arial" w:eastAsiaTheme="minorEastAsia" w:hAnsi="Arial" w:cs="Arial"/>
          <w:bCs/>
        </w:rPr>
        <w:t xml:space="preserve"> </w:t>
      </w:r>
      <w:proofErr w:type="spellStart"/>
      <w:r w:rsidRPr="008B7AE0">
        <w:rPr>
          <w:rFonts w:ascii="Arial" w:eastAsiaTheme="minorEastAsia" w:hAnsi="Arial" w:cs="Arial"/>
          <w:bCs/>
        </w:rPr>
        <w:t>Mequanent</w:t>
      </w:r>
      <w:proofErr w:type="spellEnd"/>
      <w:r w:rsidRPr="008B7AE0">
        <w:rPr>
          <w:rFonts w:ascii="Arial" w:eastAsiaTheme="minorEastAsia" w:hAnsi="Arial" w:cs="Arial"/>
          <w:bCs/>
        </w:rPr>
        <w:t xml:space="preserve"> Sisay</w:t>
      </w:r>
      <w:r w:rsidRPr="008B7AE0">
        <w:rPr>
          <w:rFonts w:ascii="Arial" w:eastAsiaTheme="minorEastAsia" w:hAnsi="Arial" w:cs="Arial"/>
          <w:bCs/>
          <w:vertAlign w:val="superscript"/>
        </w:rPr>
        <w:t>3</w:t>
      </w:r>
      <w:r w:rsidRPr="008B7AE0">
        <w:rPr>
          <w:rFonts w:ascii="Arial" w:eastAsiaTheme="minorEastAsia" w:hAnsi="Arial" w:cs="Arial"/>
          <w:bCs/>
        </w:rPr>
        <w:t xml:space="preserve"> </w:t>
      </w:r>
    </w:p>
    <w:p w:rsidR="008B7AE0" w:rsidRPr="008B7AE0" w:rsidRDefault="008B7AE0" w:rsidP="008B7AE0">
      <w:pPr>
        <w:pStyle w:val="Default"/>
        <w:spacing w:line="360" w:lineRule="auto"/>
        <w:rPr>
          <w:rFonts w:ascii="Arial" w:hAnsi="Arial" w:cs="Arial"/>
        </w:rPr>
      </w:pPr>
      <w:r w:rsidRPr="008B7AE0">
        <w:rPr>
          <w:rFonts w:ascii="Arial" w:eastAsiaTheme="minorEastAsia" w:hAnsi="Arial" w:cs="Arial"/>
          <w:bCs/>
          <w:color w:val="4472C4" w:themeColor="accent5"/>
        </w:rPr>
        <w:t>(</w:t>
      </w:r>
      <w:r w:rsidRPr="008B7AE0">
        <w:rPr>
          <w:rFonts w:ascii="Arial" w:eastAsiaTheme="minorEastAsia" w:hAnsi="Arial" w:cs="Arial"/>
          <w:bCs/>
          <w:color w:val="4472C4" w:themeColor="accent5"/>
          <w:u w:val="single"/>
        </w:rPr>
        <w:t>Email: maledecsa@gmail.com</w:t>
      </w:r>
      <w:r w:rsidRPr="008B7AE0">
        <w:rPr>
          <w:rFonts w:ascii="Arial" w:hAnsi="Arial" w:cs="Arial"/>
          <w:color w:val="4472C4" w:themeColor="accent5"/>
        </w:rPr>
        <w:t>)</w:t>
      </w:r>
    </w:p>
    <w:p w:rsidR="008B7AE0" w:rsidRPr="008B7AE0" w:rsidRDefault="008B7AE0" w:rsidP="008B7AE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B7AE0">
        <w:rPr>
          <w:rFonts w:ascii="Arial" w:hAnsi="Arial" w:cs="Arial"/>
          <w:sz w:val="24"/>
          <w:szCs w:val="24"/>
          <w:vertAlign w:val="superscript"/>
        </w:rPr>
        <w:t>1*</w:t>
      </w:r>
      <w:r w:rsidRPr="008B7AE0">
        <w:rPr>
          <w:rFonts w:ascii="Arial" w:hAnsi="Arial" w:cs="Arial"/>
          <w:sz w:val="24"/>
          <w:szCs w:val="24"/>
        </w:rPr>
        <w:t xml:space="preserve">School of midwifery, College of Medicine and Health Science, University of Gondar, Ethiopia, </w:t>
      </w:r>
    </w:p>
    <w:p w:rsidR="008B7AE0" w:rsidRPr="008B7AE0" w:rsidRDefault="008B7AE0" w:rsidP="008B7AE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B7AE0">
        <w:rPr>
          <w:rFonts w:ascii="Arial" w:hAnsi="Arial" w:cs="Arial"/>
          <w:sz w:val="24"/>
          <w:szCs w:val="24"/>
          <w:vertAlign w:val="superscript"/>
        </w:rPr>
        <w:t>2</w:t>
      </w:r>
      <w:r w:rsidRPr="008B7AE0">
        <w:rPr>
          <w:rFonts w:ascii="Arial" w:hAnsi="Arial" w:cs="Arial"/>
          <w:sz w:val="24"/>
          <w:szCs w:val="24"/>
        </w:rPr>
        <w:t xml:space="preserve">Department of Reproductive Health, Institute of Public Health, College of Medicine and Health Science, University of Gondar, Ethiopia, </w:t>
      </w:r>
    </w:p>
    <w:p w:rsidR="008B7AE0" w:rsidRPr="008B7AE0" w:rsidRDefault="008B7AE0" w:rsidP="008B7AE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B7AE0">
        <w:rPr>
          <w:rFonts w:ascii="Arial" w:hAnsi="Arial" w:cs="Arial"/>
          <w:sz w:val="24"/>
          <w:szCs w:val="24"/>
          <w:vertAlign w:val="superscript"/>
        </w:rPr>
        <w:t>3</w:t>
      </w:r>
      <w:r w:rsidRPr="008B7AE0">
        <w:rPr>
          <w:rFonts w:ascii="Arial" w:hAnsi="Arial" w:cs="Arial"/>
          <w:sz w:val="24"/>
          <w:szCs w:val="24"/>
        </w:rPr>
        <w:t xml:space="preserve">Department of Epidemiology and Biostatistics, Institute of Public Health, College of Medicine and Health Science, University of Gondar, Ethiopia </w:t>
      </w:r>
    </w:p>
    <w:p w:rsidR="008B7AE0" w:rsidRPr="008B7AE0" w:rsidRDefault="008B7AE0" w:rsidP="008B7AE0">
      <w:pPr>
        <w:spacing w:after="0" w:line="360" w:lineRule="auto"/>
        <w:jc w:val="both"/>
        <w:rPr>
          <w:rStyle w:val="Hyperlink"/>
          <w:rFonts w:ascii="Arial" w:hAnsi="Arial" w:cs="Arial"/>
          <w:sz w:val="24"/>
          <w:szCs w:val="24"/>
        </w:rPr>
      </w:pPr>
      <w:r w:rsidRPr="008B7AE0">
        <w:rPr>
          <w:rFonts w:ascii="Arial" w:hAnsi="Arial" w:cs="Arial"/>
          <w:color w:val="4472C4" w:themeColor="accent5"/>
          <w:sz w:val="24"/>
          <w:szCs w:val="24"/>
        </w:rPr>
        <w:t>* Principal investigator and corresponding author</w:t>
      </w:r>
    </w:p>
    <w:p w:rsidR="008B7AE0" w:rsidRPr="008B7AE0" w:rsidRDefault="008B7AE0" w:rsidP="008B7AE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hyperlink r:id="rId6" w:history="1">
        <w:r w:rsidRPr="008B7AE0">
          <w:rPr>
            <w:rStyle w:val="Hyperlink"/>
            <w:rFonts w:ascii="Arial" w:hAnsi="Arial" w:cs="Arial"/>
            <w:sz w:val="24"/>
            <w:szCs w:val="24"/>
          </w:rPr>
          <w:t>ayenewe07@gmail.com</w:t>
        </w:r>
      </w:hyperlink>
    </w:p>
    <w:p w:rsidR="008B7AE0" w:rsidRPr="008B7AE0" w:rsidRDefault="008B7AE0" w:rsidP="008B7AE0">
      <w:pPr>
        <w:spacing w:line="360" w:lineRule="auto"/>
        <w:rPr>
          <w:rFonts w:ascii="Arial" w:hAnsi="Arial" w:cs="Arial"/>
          <w:sz w:val="24"/>
          <w:szCs w:val="24"/>
        </w:rPr>
      </w:pPr>
    </w:p>
    <w:p w:rsidR="008B7AE0" w:rsidRPr="008B7AE0" w:rsidRDefault="008B7AE0" w:rsidP="008B7AE0">
      <w:pPr>
        <w:spacing w:line="360" w:lineRule="auto"/>
        <w:rPr>
          <w:rFonts w:ascii="Arial" w:hAnsi="Arial" w:cs="Arial"/>
          <w:sz w:val="24"/>
          <w:szCs w:val="24"/>
        </w:rPr>
      </w:pPr>
    </w:p>
    <w:p w:rsidR="008B7AE0" w:rsidRPr="008B7AE0" w:rsidRDefault="008B7AE0" w:rsidP="008B7AE0">
      <w:pPr>
        <w:spacing w:line="360" w:lineRule="auto"/>
        <w:rPr>
          <w:rFonts w:ascii="Arial" w:hAnsi="Arial" w:cs="Arial"/>
          <w:sz w:val="24"/>
          <w:szCs w:val="24"/>
        </w:rPr>
      </w:pPr>
    </w:p>
    <w:p w:rsidR="008B7AE0" w:rsidRPr="008B7AE0" w:rsidRDefault="008B7AE0" w:rsidP="008B7AE0">
      <w:pPr>
        <w:spacing w:line="360" w:lineRule="auto"/>
        <w:rPr>
          <w:rFonts w:ascii="Arial" w:hAnsi="Arial" w:cs="Arial"/>
          <w:sz w:val="24"/>
          <w:szCs w:val="24"/>
        </w:rPr>
      </w:pPr>
    </w:p>
    <w:p w:rsidR="008B7AE0" w:rsidRPr="008B7AE0" w:rsidRDefault="008B7AE0" w:rsidP="008B7AE0">
      <w:pPr>
        <w:spacing w:line="360" w:lineRule="auto"/>
        <w:rPr>
          <w:rFonts w:ascii="Arial" w:hAnsi="Arial" w:cs="Arial"/>
          <w:sz w:val="24"/>
          <w:szCs w:val="24"/>
        </w:rPr>
      </w:pPr>
    </w:p>
    <w:p w:rsidR="008B7AE0" w:rsidRPr="008B7AE0" w:rsidRDefault="008B7AE0" w:rsidP="008B7AE0">
      <w:pPr>
        <w:spacing w:line="360" w:lineRule="auto"/>
        <w:rPr>
          <w:rFonts w:ascii="Arial" w:hAnsi="Arial" w:cs="Arial"/>
          <w:sz w:val="24"/>
          <w:szCs w:val="24"/>
        </w:rPr>
      </w:pPr>
    </w:p>
    <w:p w:rsidR="008B7AE0" w:rsidRPr="008B7AE0" w:rsidRDefault="008B7AE0" w:rsidP="008B7AE0">
      <w:pPr>
        <w:spacing w:line="360" w:lineRule="auto"/>
        <w:rPr>
          <w:rFonts w:ascii="Arial" w:hAnsi="Arial" w:cs="Arial"/>
          <w:sz w:val="24"/>
          <w:szCs w:val="24"/>
        </w:rPr>
      </w:pPr>
    </w:p>
    <w:p w:rsidR="008B7AE0" w:rsidRPr="008B7AE0" w:rsidRDefault="008B7AE0" w:rsidP="008B7AE0">
      <w:pPr>
        <w:spacing w:line="360" w:lineRule="auto"/>
        <w:rPr>
          <w:rFonts w:ascii="Arial" w:hAnsi="Arial" w:cs="Arial"/>
          <w:sz w:val="24"/>
          <w:szCs w:val="24"/>
        </w:rPr>
      </w:pPr>
    </w:p>
    <w:p w:rsidR="008B7AE0" w:rsidRPr="008B7AE0" w:rsidRDefault="008B7AE0" w:rsidP="008B7AE0">
      <w:pPr>
        <w:spacing w:line="360" w:lineRule="auto"/>
        <w:rPr>
          <w:rFonts w:ascii="Arial" w:hAnsi="Arial" w:cs="Arial"/>
          <w:sz w:val="24"/>
          <w:szCs w:val="24"/>
        </w:rPr>
      </w:pPr>
    </w:p>
    <w:p w:rsidR="008B7AE0" w:rsidRPr="008B7AE0" w:rsidRDefault="008B7AE0" w:rsidP="008B7AE0">
      <w:pPr>
        <w:pStyle w:val="Heading1"/>
        <w:spacing w:before="0" w:after="0" w:line="360" w:lineRule="auto"/>
        <w:rPr>
          <w:rFonts w:ascii="Arial" w:hAnsi="Arial" w:cs="Arial"/>
          <w:b/>
          <w:sz w:val="24"/>
          <w:szCs w:val="24"/>
        </w:rPr>
      </w:pPr>
      <w:bookmarkStart w:id="0" w:name="_Toc516053144"/>
      <w:r w:rsidRPr="008B7AE0">
        <w:rPr>
          <w:rFonts w:ascii="Arial" w:hAnsi="Arial" w:cs="Arial"/>
          <w:b/>
          <w:sz w:val="24"/>
          <w:szCs w:val="24"/>
        </w:rPr>
        <w:lastRenderedPageBreak/>
        <w:t>Abstract</w:t>
      </w:r>
      <w:bookmarkEnd w:id="0"/>
      <w:r w:rsidRPr="008B7AE0">
        <w:rPr>
          <w:rFonts w:ascii="Arial" w:hAnsi="Arial" w:cs="Arial"/>
          <w:b/>
          <w:sz w:val="24"/>
          <w:szCs w:val="24"/>
        </w:rPr>
        <w:t xml:space="preserve">   </w:t>
      </w:r>
    </w:p>
    <w:p w:rsidR="008B7AE0" w:rsidRPr="008B7AE0" w:rsidRDefault="008B7AE0" w:rsidP="008B7AE0">
      <w:pPr>
        <w:pStyle w:val="Heading2"/>
        <w:spacing w:before="0" w:line="360" w:lineRule="auto"/>
        <w:rPr>
          <w:rFonts w:ascii="Arial" w:hAnsi="Arial" w:cs="Arial"/>
          <w:b/>
          <w:sz w:val="24"/>
          <w:szCs w:val="24"/>
        </w:rPr>
      </w:pPr>
      <w:r w:rsidRPr="008B7AE0">
        <w:rPr>
          <w:rFonts w:ascii="Arial" w:hAnsi="Arial" w:cs="Arial"/>
          <w:b/>
          <w:sz w:val="24"/>
          <w:szCs w:val="24"/>
        </w:rPr>
        <w:t>Background</w:t>
      </w:r>
    </w:p>
    <w:p w:rsidR="008B7AE0" w:rsidRPr="008B7AE0" w:rsidRDefault="008B7AE0" w:rsidP="008B7AE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B7AE0">
        <w:rPr>
          <w:rFonts w:ascii="Arial" w:hAnsi="Arial" w:cs="Arial"/>
          <w:sz w:val="24"/>
          <w:szCs w:val="24"/>
        </w:rPr>
        <w:t>Prematurity accounts about 1 million neonatal deaths worldwide and the second causes of both neonatal and under five child mortality.  Neonatal mortality accounts 43% of under-five child mortality in Ethiopia. From this preterm is the second leading cause of death and is steadily increased in low-income countries.</w:t>
      </w:r>
      <w:r w:rsidRPr="008B7AE0">
        <w:rPr>
          <w:rFonts w:ascii="Arial" w:hAnsi="Arial" w:cs="Arial"/>
          <w:color w:val="FF0000"/>
          <w:sz w:val="24"/>
          <w:szCs w:val="24"/>
        </w:rPr>
        <w:t xml:space="preserve"> </w:t>
      </w:r>
      <w:r w:rsidRPr="008B7AE0">
        <w:rPr>
          <w:rFonts w:ascii="Arial" w:hAnsi="Arial" w:cs="Arial"/>
          <w:sz w:val="24"/>
          <w:szCs w:val="24"/>
        </w:rPr>
        <w:t xml:space="preserve">Therefore, the aim of this study was to assess time to death and predictors among preterm neonates admitted in </w:t>
      </w:r>
      <w:r w:rsidRPr="008B7AE0">
        <w:rPr>
          <w:rFonts w:ascii="Arial" w:hAnsi="Arial" w:cs="Arial"/>
          <w:noProof/>
          <w:sz w:val="24"/>
          <w:szCs w:val="24"/>
        </w:rPr>
        <w:t>University</w:t>
      </w:r>
      <w:r w:rsidRPr="008B7AE0">
        <w:rPr>
          <w:rFonts w:ascii="Arial" w:hAnsi="Arial" w:cs="Arial"/>
          <w:sz w:val="24"/>
          <w:szCs w:val="24"/>
        </w:rPr>
        <w:t xml:space="preserve"> of Gondar comprehensive specialized hospital neonatal intensive care unit North West Ethiopia 2018.</w:t>
      </w:r>
    </w:p>
    <w:p w:rsidR="008B7AE0" w:rsidRPr="008B7AE0" w:rsidRDefault="008B7AE0" w:rsidP="008B7AE0">
      <w:pPr>
        <w:pStyle w:val="Heading2"/>
        <w:spacing w:before="0" w:line="360" w:lineRule="auto"/>
        <w:rPr>
          <w:rFonts w:ascii="Arial" w:hAnsi="Arial" w:cs="Arial"/>
          <w:b/>
          <w:sz w:val="24"/>
          <w:szCs w:val="24"/>
        </w:rPr>
      </w:pPr>
      <w:r w:rsidRPr="008B7AE0">
        <w:rPr>
          <w:rFonts w:ascii="Arial" w:hAnsi="Arial" w:cs="Arial"/>
          <w:b/>
          <w:sz w:val="24"/>
          <w:szCs w:val="24"/>
        </w:rPr>
        <w:t>Methods</w:t>
      </w:r>
    </w:p>
    <w:p w:rsidR="008B7AE0" w:rsidRPr="008B7AE0" w:rsidRDefault="008B7AE0" w:rsidP="008B7AE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B7AE0">
        <w:rPr>
          <w:rFonts w:ascii="Arial" w:hAnsi="Arial" w:cs="Arial"/>
          <w:sz w:val="24"/>
          <w:szCs w:val="24"/>
        </w:rPr>
        <w:t xml:space="preserve"> </w:t>
      </w:r>
      <w:r w:rsidRPr="008B7AE0">
        <w:rPr>
          <w:rFonts w:ascii="Arial" w:hAnsi="Arial" w:cs="Arial"/>
          <w:noProof/>
          <w:sz w:val="24"/>
          <w:szCs w:val="24"/>
        </w:rPr>
        <w:t>Institution-based</w:t>
      </w:r>
      <w:r w:rsidRPr="008B7AE0">
        <w:rPr>
          <w:rFonts w:ascii="Arial" w:hAnsi="Arial" w:cs="Arial"/>
          <w:sz w:val="24"/>
          <w:szCs w:val="24"/>
        </w:rPr>
        <w:t xml:space="preserve"> retrospective </w:t>
      </w:r>
      <w:r w:rsidRPr="008B7AE0">
        <w:rPr>
          <w:rFonts w:ascii="Arial" w:hAnsi="Arial" w:cs="Arial"/>
          <w:noProof/>
          <w:sz w:val="24"/>
          <w:szCs w:val="24"/>
        </w:rPr>
        <w:t>follow</w:t>
      </w:r>
      <w:r w:rsidRPr="008B7AE0">
        <w:rPr>
          <w:rFonts w:ascii="Arial" w:hAnsi="Arial" w:cs="Arial"/>
          <w:sz w:val="24"/>
          <w:szCs w:val="24"/>
        </w:rPr>
        <w:t xml:space="preserve"> up study was conducted among 516 preterm neonates from January 2016 to March 2018. Data were extracted retrospectively from patients’ records using a </w:t>
      </w:r>
      <w:r w:rsidRPr="008B7AE0">
        <w:rPr>
          <w:rFonts w:ascii="Arial" w:hAnsi="Arial" w:cs="Arial"/>
          <w:noProof/>
          <w:sz w:val="24"/>
          <w:szCs w:val="24"/>
        </w:rPr>
        <w:t>pretested</w:t>
      </w:r>
      <w:r w:rsidRPr="008B7AE0">
        <w:rPr>
          <w:rFonts w:ascii="Arial" w:hAnsi="Arial" w:cs="Arial"/>
          <w:sz w:val="24"/>
          <w:szCs w:val="24"/>
        </w:rPr>
        <w:t xml:space="preserve"> structured checklist. </w:t>
      </w:r>
      <w:r w:rsidRPr="008B7AE0">
        <w:rPr>
          <w:rFonts w:ascii="Arial" w:hAnsi="Arial" w:cs="Arial"/>
          <w:color w:val="000000"/>
          <w:sz w:val="24"/>
          <w:szCs w:val="24"/>
        </w:rPr>
        <w:t xml:space="preserve">Descriptive summary statistics like median survival time, Kaplan Meier failure estimation curve and </w:t>
      </w:r>
      <w:r w:rsidRPr="008B7AE0">
        <w:rPr>
          <w:rFonts w:ascii="Arial" w:hAnsi="Arial" w:cs="Arial"/>
          <w:noProof/>
          <w:color w:val="000000"/>
          <w:sz w:val="24"/>
          <w:szCs w:val="24"/>
        </w:rPr>
        <w:t>Log-rank</w:t>
      </w:r>
      <w:r w:rsidRPr="008B7AE0">
        <w:rPr>
          <w:rFonts w:ascii="Arial" w:hAnsi="Arial" w:cs="Arial"/>
          <w:color w:val="000000"/>
          <w:sz w:val="24"/>
          <w:szCs w:val="24"/>
        </w:rPr>
        <w:t xml:space="preserve"> test were computed</w:t>
      </w:r>
      <w:r w:rsidRPr="008B7AE0">
        <w:rPr>
          <w:rFonts w:ascii="Arial" w:hAnsi="Arial" w:cs="Arial"/>
          <w:sz w:val="24"/>
          <w:szCs w:val="24"/>
        </w:rPr>
        <w:t xml:space="preserve">. Bivariate and multivariable </w:t>
      </w:r>
      <w:proofErr w:type="spellStart"/>
      <w:r w:rsidRPr="008B7AE0">
        <w:rPr>
          <w:rFonts w:ascii="Arial" w:hAnsi="Arial" w:cs="Arial"/>
          <w:sz w:val="24"/>
          <w:szCs w:val="24"/>
        </w:rPr>
        <w:t>Gompertz</w:t>
      </w:r>
      <w:proofErr w:type="spellEnd"/>
      <w:r w:rsidRPr="008B7AE0">
        <w:rPr>
          <w:rFonts w:ascii="Arial" w:hAnsi="Arial" w:cs="Arial"/>
          <w:sz w:val="24"/>
          <w:szCs w:val="24"/>
        </w:rPr>
        <w:t xml:space="preserve"> parametric hazards models were fitted to identify the predictors of mortality</w:t>
      </w:r>
      <w:r w:rsidRPr="008B7AE0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. </w:t>
      </w:r>
      <w:r w:rsidRPr="008B7AE0">
        <w:rPr>
          <w:rFonts w:ascii="Arial" w:hAnsi="Arial" w:cs="Arial"/>
          <w:sz w:val="24"/>
          <w:szCs w:val="24"/>
        </w:rPr>
        <w:t xml:space="preserve">Hazard ratio with a </w:t>
      </w:r>
      <w:r w:rsidRPr="008B7AE0">
        <w:rPr>
          <w:rFonts w:ascii="Arial" w:hAnsi="Arial" w:cs="Arial"/>
          <w:noProof/>
          <w:sz w:val="24"/>
          <w:szCs w:val="24"/>
        </w:rPr>
        <w:t>95</w:t>
      </w:r>
      <w:r w:rsidRPr="008B7AE0">
        <w:rPr>
          <w:rFonts w:ascii="Arial" w:hAnsi="Arial" w:cs="Arial"/>
          <w:sz w:val="24"/>
          <w:szCs w:val="24"/>
        </w:rPr>
        <w:t xml:space="preserve">% confidence interval was calculated and </w:t>
      </w:r>
      <w:r w:rsidRPr="008B7AE0">
        <w:rPr>
          <w:rStyle w:val="Emphasis"/>
          <w:rFonts w:ascii="Arial" w:hAnsi="Arial" w:cs="Arial"/>
          <w:color w:val="000000"/>
          <w:sz w:val="24"/>
          <w:szCs w:val="24"/>
          <w:shd w:val="clear" w:color="auto" w:fill="FFFFFF"/>
        </w:rPr>
        <w:t>p</w:t>
      </w:r>
      <w:r w:rsidRPr="008B7AE0">
        <w:rPr>
          <w:rFonts w:ascii="Arial" w:hAnsi="Arial" w:cs="Arial"/>
          <w:color w:val="000000"/>
          <w:sz w:val="24"/>
          <w:szCs w:val="24"/>
          <w:shd w:val="clear" w:color="auto" w:fill="FFFFFF"/>
        </w:rPr>
        <w:t>-values &lt;0.05 were considered statistically significant</w:t>
      </w:r>
      <w:r w:rsidRPr="008B7AE0">
        <w:rPr>
          <w:rFonts w:ascii="Arial" w:hAnsi="Arial" w:cs="Arial"/>
          <w:sz w:val="24"/>
          <w:szCs w:val="24"/>
        </w:rPr>
        <w:t xml:space="preserve">. </w:t>
      </w:r>
    </w:p>
    <w:p w:rsidR="008B7AE0" w:rsidRPr="008B7AE0" w:rsidRDefault="008B7AE0" w:rsidP="008B7AE0">
      <w:pPr>
        <w:pStyle w:val="Heading2"/>
        <w:spacing w:before="0" w:line="360" w:lineRule="auto"/>
        <w:rPr>
          <w:rFonts w:ascii="Arial" w:hAnsi="Arial" w:cs="Arial"/>
          <w:b/>
          <w:sz w:val="24"/>
          <w:szCs w:val="24"/>
        </w:rPr>
      </w:pPr>
      <w:r w:rsidRPr="008B7AE0">
        <w:rPr>
          <w:rFonts w:ascii="Arial" w:hAnsi="Arial" w:cs="Arial"/>
          <w:b/>
          <w:sz w:val="24"/>
          <w:szCs w:val="24"/>
        </w:rPr>
        <w:t>Results</w:t>
      </w:r>
    </w:p>
    <w:p w:rsidR="008B7AE0" w:rsidRPr="008B7AE0" w:rsidRDefault="008B7AE0" w:rsidP="008B7AE0">
      <w:pPr>
        <w:pStyle w:val="Default"/>
        <w:spacing w:line="360" w:lineRule="auto"/>
        <w:jc w:val="both"/>
        <w:rPr>
          <w:rFonts w:ascii="Arial" w:hAnsi="Arial" w:cs="Arial"/>
        </w:rPr>
      </w:pPr>
      <w:r w:rsidRPr="008B7AE0">
        <w:rPr>
          <w:rFonts w:ascii="Arial" w:hAnsi="Arial" w:cs="Arial"/>
        </w:rPr>
        <w:t>Proportion of preterm neonatal death in this study were 28.8% (95%CI (25.1, 32.9)). Home delivery (AHR= 2.25, 95% CI (1.03, 4.88)), hyaline membrane disease (AHR =3.21, 95% CI (1.96, 5.25)), gestational age, (AHR=0.82, 95% CI (0.74, 0.91)), cry immediately at birth (AHR=1.74, 95% CI (1.19, 2.53)), kangaroo mother care (AHR=0.24, 95%CI (0.11, 0.52)), presence of jaundice (AHR=1.62, 95%CI (1.12, 2.54)) and hypoglycemia at admission (AHR=1.75, 95%CI (1.21, 2.54)) were found to be significant predictors of time to death for preterm neonates</w:t>
      </w:r>
    </w:p>
    <w:p w:rsidR="008B7AE0" w:rsidRPr="008B7AE0" w:rsidRDefault="008B7AE0" w:rsidP="008B7AE0">
      <w:pPr>
        <w:pStyle w:val="Heading2"/>
        <w:spacing w:before="0" w:line="360" w:lineRule="auto"/>
        <w:rPr>
          <w:rFonts w:ascii="Arial" w:hAnsi="Arial" w:cs="Arial"/>
          <w:b/>
          <w:sz w:val="24"/>
          <w:szCs w:val="24"/>
        </w:rPr>
      </w:pPr>
      <w:r w:rsidRPr="008B7AE0">
        <w:rPr>
          <w:rFonts w:ascii="Arial" w:hAnsi="Arial" w:cs="Arial"/>
          <w:b/>
          <w:sz w:val="24"/>
          <w:szCs w:val="24"/>
        </w:rPr>
        <w:t>Conclusion</w:t>
      </w:r>
    </w:p>
    <w:p w:rsidR="008B7AE0" w:rsidRPr="008B7AE0" w:rsidRDefault="008B7AE0" w:rsidP="008B7AE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B7AE0">
        <w:rPr>
          <w:rFonts w:ascii="Arial" w:hAnsi="Arial" w:cs="Arial"/>
          <w:sz w:val="24"/>
          <w:szCs w:val="24"/>
        </w:rPr>
        <w:t xml:space="preserve">Proportion of preterm neonatal death in this study was high. Home delivery, Jaundice, hypoglycemia, gestational age, </w:t>
      </w:r>
      <w:proofErr w:type="gramStart"/>
      <w:r w:rsidRPr="008B7AE0">
        <w:rPr>
          <w:rFonts w:ascii="Arial" w:hAnsi="Arial" w:cs="Arial"/>
          <w:sz w:val="24"/>
          <w:szCs w:val="24"/>
        </w:rPr>
        <w:t>cry</w:t>
      </w:r>
      <w:proofErr w:type="gramEnd"/>
      <w:r w:rsidRPr="008B7AE0">
        <w:rPr>
          <w:rFonts w:ascii="Arial" w:hAnsi="Arial" w:cs="Arial"/>
          <w:sz w:val="24"/>
          <w:szCs w:val="24"/>
        </w:rPr>
        <w:t xml:space="preserve"> immediately at birth, kangaroo mother care and hyaline membrane disease were significant predictors of time to death. </w:t>
      </w:r>
    </w:p>
    <w:p w:rsidR="00260AB9" w:rsidRPr="008B7AE0" w:rsidRDefault="008B7AE0" w:rsidP="008B7AE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bookmarkStart w:id="1" w:name="_GoBack"/>
      <w:bookmarkEnd w:id="1"/>
      <w:r w:rsidRPr="008B7AE0">
        <w:rPr>
          <w:rFonts w:ascii="Arial" w:eastAsia="Arial" w:hAnsi="Arial" w:cs="Arial"/>
          <w:b/>
          <w:i/>
          <w:color w:val="000000" w:themeColor="text1"/>
          <w:sz w:val="24"/>
          <w:szCs w:val="24"/>
        </w:rPr>
        <w:t>Keywords:</w:t>
      </w:r>
      <w:r w:rsidRPr="008B7AE0">
        <w:rPr>
          <w:rFonts w:ascii="Arial" w:eastAsia="Arial" w:hAnsi="Arial" w:cs="Arial"/>
          <w:i/>
          <w:color w:val="000000" w:themeColor="text1"/>
          <w:sz w:val="24"/>
          <w:szCs w:val="24"/>
        </w:rPr>
        <w:t xml:space="preserve"> Ethiopia, preterm neonate, time to death, Neonatal intensive care unit.        </w:t>
      </w:r>
      <w:r w:rsidRPr="008B7AE0">
        <w:rPr>
          <w:rStyle w:val="Heading2Char"/>
          <w:rFonts w:ascii="Arial" w:hAnsi="Arial" w:cs="Arial"/>
          <w:b/>
          <w:color w:val="auto"/>
          <w:sz w:val="24"/>
          <w:szCs w:val="24"/>
        </w:rPr>
        <w:t xml:space="preserve"> </w:t>
      </w:r>
    </w:p>
    <w:sectPr w:rsidR="00260AB9" w:rsidRPr="008B7AE0">
      <w:headerReference w:type="default" r:id="rId7"/>
      <w:footerReference w:type="even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D26" w:rsidRDefault="008B7AE0">
    <w:pPr>
      <w:pStyle w:val="Footer"/>
    </w:pPr>
    <w:r>
      <w:t xml:space="preserve">                                                                                                                                          29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D26" w:rsidRDefault="008B7AE0" w:rsidP="00757FF9">
    <w:pPr>
      <w:pStyle w:val="Header"/>
      <w:tabs>
        <w:tab w:val="clear" w:pos="4680"/>
        <w:tab w:val="clear" w:pos="9360"/>
        <w:tab w:val="left" w:pos="3885"/>
      </w:tabs>
    </w:pPr>
  </w:p>
  <w:p w:rsidR="00820D26" w:rsidRDefault="008B7AE0" w:rsidP="00757FF9">
    <w:pPr>
      <w:pStyle w:val="Header"/>
      <w:tabs>
        <w:tab w:val="clear" w:pos="4680"/>
        <w:tab w:val="clear" w:pos="9360"/>
        <w:tab w:val="left" w:pos="7320"/>
      </w:tabs>
    </w:pPr>
    <w:r>
      <w:tab/>
    </w:r>
  </w:p>
  <w:p w:rsidR="00820D26" w:rsidRDefault="008B7AE0" w:rsidP="00757FF9">
    <w:pPr>
      <w:pStyle w:val="Header"/>
      <w:tabs>
        <w:tab w:val="clear" w:pos="4680"/>
        <w:tab w:val="clear" w:pos="9360"/>
        <w:tab w:val="left" w:pos="3885"/>
      </w:tabs>
    </w:pPr>
  </w:p>
  <w:p w:rsidR="00820D26" w:rsidRDefault="008B7AE0" w:rsidP="00757FF9">
    <w:pPr>
      <w:pStyle w:val="Header"/>
      <w:tabs>
        <w:tab w:val="clear" w:pos="4680"/>
        <w:tab w:val="clear" w:pos="9360"/>
        <w:tab w:val="left" w:pos="3885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3FA"/>
    <w:rsid w:val="001153FA"/>
    <w:rsid w:val="00260AB9"/>
    <w:rsid w:val="008B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0280CA-6820-48A8-8E89-F8D517594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7AE0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B7AE0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7AE0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7AE0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B7AE0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B7AE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B7AE0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sz w:val="21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8B7AE0"/>
    <w:rPr>
      <w:rFonts w:eastAsiaTheme="minorEastAsia"/>
      <w:sz w:val="21"/>
      <w:szCs w:val="21"/>
    </w:rPr>
  </w:style>
  <w:style w:type="paragraph" w:styleId="Footer">
    <w:name w:val="footer"/>
    <w:basedOn w:val="Normal"/>
    <w:link w:val="FooterChar"/>
    <w:uiPriority w:val="99"/>
    <w:unhideWhenUsed/>
    <w:rsid w:val="008B7AE0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sz w:val="21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8B7AE0"/>
    <w:rPr>
      <w:rFonts w:eastAsiaTheme="minorEastAsia"/>
      <w:sz w:val="21"/>
      <w:szCs w:val="21"/>
    </w:rPr>
  </w:style>
  <w:style w:type="paragraph" w:customStyle="1" w:styleId="Default">
    <w:name w:val="Default"/>
    <w:uiPriority w:val="99"/>
    <w:rsid w:val="008B7A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B7AE0"/>
  </w:style>
  <w:style w:type="paragraph" w:styleId="NoSpacing">
    <w:name w:val="No Spacing"/>
    <w:link w:val="NoSpacingChar"/>
    <w:uiPriority w:val="1"/>
    <w:qFormat/>
    <w:rsid w:val="008B7AE0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8B7AE0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8B7A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yenewe07@gmail.com" TargetMode="External"/><Relationship Id="rId5" Type="http://schemas.openxmlformats.org/officeDocument/2006/relationships/hyperlink" Target="mailto:abebaw.addis@gmail.com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(Email:%20ayenewe07@gmail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445</Words>
  <Characters>2538</Characters>
  <Application>Microsoft Office Word</Application>
  <DocSecurity>0</DocSecurity>
  <Lines>21</Lines>
  <Paragraphs>5</Paragraphs>
  <ScaleCrop>false</ScaleCrop>
  <Company/>
  <LinksUpToDate>false</LinksUpToDate>
  <CharactersWithSpaces>2978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</dc:creator>
  <cp:keywords/>
  <dc:description/>
  <cp:lastModifiedBy>ayu</cp:lastModifiedBy>
  <cp:revision>2</cp:revision>
  <dcterms:created xsi:type="dcterms:W3CDTF">2019-01-04T06:30:00Z</dcterms:created>
  <dcterms:modified xsi:type="dcterms:W3CDTF">2019-01-04T06:33:00Z</dcterms:modified>
</cp:coreProperties>
</file>