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159" w:rsidRPr="00A85583" w:rsidRDefault="00262159" w:rsidP="00262159">
      <w:pPr>
        <w:widowControl/>
        <w:autoSpaceDE w:val="0"/>
        <w:autoSpaceDN w:val="0"/>
        <w:adjustRightInd w:val="0"/>
        <w:rPr>
          <w:rFonts w:ascii="AdvOT863180fb" w:eastAsiaTheme="minorHAnsi" w:hAnsi="AdvOT863180fb" w:cs="AdvOT863180fb"/>
          <w:b/>
          <w:sz w:val="27"/>
          <w:szCs w:val="27"/>
        </w:rPr>
      </w:pPr>
      <w:r w:rsidRPr="00A85583">
        <w:rPr>
          <w:rFonts w:ascii="AdvOT863180fb" w:eastAsiaTheme="minorHAnsi" w:hAnsi="AdvOT863180fb" w:cs="AdvOT863180fb"/>
          <w:b/>
          <w:sz w:val="27"/>
          <w:szCs w:val="27"/>
        </w:rPr>
        <w:t xml:space="preserve">Lornoxicam loaded nanostructured lipid carriers for topical delivery: Optimization, skin uptake and </w:t>
      </w:r>
      <w:r w:rsidRPr="00A85583">
        <w:rPr>
          <w:rFonts w:ascii="AdvOTb92eb7df.I" w:eastAsiaTheme="minorHAnsi" w:hAnsi="AdvOTb92eb7df.I" w:cs="AdvOTb92eb7df.I"/>
          <w:b/>
          <w:sz w:val="27"/>
          <w:szCs w:val="27"/>
        </w:rPr>
        <w:t xml:space="preserve">in vivo </w:t>
      </w:r>
      <w:r w:rsidRPr="00A85583">
        <w:rPr>
          <w:rFonts w:ascii="AdvOT863180fb" w:eastAsiaTheme="minorHAnsi" w:hAnsi="AdvOT863180fb" w:cs="AdvOT863180fb"/>
          <w:b/>
          <w:sz w:val="27"/>
          <w:szCs w:val="27"/>
        </w:rPr>
        <w:t>studies.</w:t>
      </w:r>
    </w:p>
    <w:p w:rsidR="00262159" w:rsidRPr="00262159" w:rsidRDefault="00262159" w:rsidP="00262159">
      <w:pPr>
        <w:jc w:val="center"/>
        <w:rPr>
          <w:sz w:val="18"/>
          <w:szCs w:val="28"/>
        </w:rPr>
      </w:pPr>
    </w:p>
    <w:p w:rsidR="00262159" w:rsidRPr="00893B74" w:rsidRDefault="00262159" w:rsidP="0026215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S. Mohanalakshmi, C. K. Ashok Kumar, </w:t>
      </w:r>
      <w:r w:rsidRPr="00A85583">
        <w:rPr>
          <w:rFonts w:eastAsiaTheme="minorHAnsi" w:cs="AdvOT863180fb"/>
          <w:sz w:val="28"/>
          <w:szCs w:val="28"/>
        </w:rPr>
        <w:t>Narahari N. Palei</w:t>
      </w:r>
      <w:r>
        <w:rPr>
          <w:sz w:val="28"/>
          <w:szCs w:val="28"/>
        </w:rPr>
        <w:t xml:space="preserve"> and R. Jayaraman, </w:t>
      </w:r>
    </w:p>
    <w:p w:rsidR="00262159" w:rsidRPr="00262159" w:rsidRDefault="00262159" w:rsidP="00262159">
      <w:pPr>
        <w:widowControl/>
        <w:autoSpaceDE w:val="0"/>
        <w:autoSpaceDN w:val="0"/>
        <w:adjustRightInd w:val="0"/>
        <w:rPr>
          <w:rFonts w:ascii="AdvOT863180fb" w:eastAsiaTheme="minorHAnsi" w:hAnsi="AdvOT863180fb" w:cs="AdvOT863180fb"/>
          <w:sz w:val="19"/>
          <w:szCs w:val="27"/>
        </w:rPr>
      </w:pPr>
    </w:p>
    <w:p w:rsidR="00262159" w:rsidRPr="006957C2" w:rsidRDefault="00262159" w:rsidP="00262159">
      <w:pPr>
        <w:pStyle w:val="Caption"/>
        <w:ind w:left="720" w:firstLine="720"/>
        <w:jc w:val="both"/>
        <w:rPr>
          <w:b w:val="0"/>
        </w:rPr>
      </w:pPr>
      <w:r w:rsidRPr="006957C2">
        <w:rPr>
          <w:b w:val="0"/>
        </w:rPr>
        <w:t>Sree Vidyanikethan Colleg</w:t>
      </w:r>
      <w:r>
        <w:rPr>
          <w:b w:val="0"/>
        </w:rPr>
        <w:t>e of Pharmacy, Tirupati-517 102, A. P., India.</w:t>
      </w:r>
    </w:p>
    <w:p w:rsidR="00AE3E37" w:rsidRPr="00262159" w:rsidRDefault="00AE3E37">
      <w:pPr>
        <w:pStyle w:val="BodyText"/>
        <w:rPr>
          <w:rFonts w:ascii="Arial"/>
          <w:sz w:val="2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Pr="00262159" w:rsidRDefault="00AE3E37">
      <w:pPr>
        <w:rPr>
          <w:rFonts w:ascii="Arial"/>
          <w:sz w:val="14"/>
        </w:rPr>
        <w:sectPr w:rsidR="00AE3E37" w:rsidRPr="00262159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262159" w:rsidRPr="00262159" w:rsidRDefault="00262159" w:rsidP="00262159">
      <w:pPr>
        <w:autoSpaceDE w:val="0"/>
        <w:autoSpaceDN w:val="0"/>
        <w:adjustRightInd w:val="0"/>
        <w:spacing w:line="276" w:lineRule="auto"/>
        <w:jc w:val="both"/>
        <w:rPr>
          <w:rFonts w:eastAsia="Calibri"/>
          <w:sz w:val="20"/>
        </w:rPr>
      </w:pPr>
      <w:r w:rsidRPr="00262159">
        <w:rPr>
          <w:rFonts w:eastAsia="Calibri"/>
          <w:sz w:val="20"/>
          <w:lang w:val="en-IN"/>
        </w:rPr>
        <w:t xml:space="preserve">The present study was aimed to investigate the possible </w:t>
      </w:r>
      <w:r w:rsidRPr="00262159">
        <w:rPr>
          <w:sz w:val="20"/>
        </w:rPr>
        <w:t xml:space="preserve">ameliorative potential and molecular modulation of various fractions of </w:t>
      </w:r>
      <w:r w:rsidRPr="00262159">
        <w:rPr>
          <w:i/>
          <w:color w:val="141314"/>
          <w:sz w:val="20"/>
        </w:rPr>
        <w:t>Girardinia heterophylla</w:t>
      </w:r>
      <w:r w:rsidRPr="00262159">
        <w:rPr>
          <w:color w:val="141314"/>
          <w:sz w:val="20"/>
        </w:rPr>
        <w:t xml:space="preserve"> (Gh) roots </w:t>
      </w:r>
      <w:r w:rsidRPr="00262159">
        <w:rPr>
          <w:rFonts w:eastAsia="Calibri"/>
          <w:i/>
          <w:iCs/>
          <w:sz w:val="20"/>
          <w:lang w:val="en-IN"/>
        </w:rPr>
        <w:t xml:space="preserve">at the </w:t>
      </w:r>
      <w:r w:rsidRPr="00262159">
        <w:rPr>
          <w:rFonts w:eastAsia="Calibri"/>
          <w:sz w:val="20"/>
        </w:rPr>
        <w:t xml:space="preserve">doses level of (200 mg/kg b.w.p.o) </w:t>
      </w:r>
      <w:r w:rsidRPr="00262159">
        <w:rPr>
          <w:color w:val="141314"/>
          <w:sz w:val="20"/>
        </w:rPr>
        <w:t xml:space="preserve">on lipid profile and oxidative stress </w:t>
      </w:r>
      <w:r w:rsidRPr="00262159">
        <w:rPr>
          <w:sz w:val="20"/>
        </w:rPr>
        <w:t>in high Fat Diet and Streptozotocin Induced diabetes in rats.</w:t>
      </w:r>
      <w:r w:rsidRPr="00262159">
        <w:rPr>
          <w:rFonts w:eastAsia="Calibri"/>
          <w:sz w:val="20"/>
          <w:lang w:val="en-IN"/>
        </w:rPr>
        <w:t xml:space="preserve"> </w:t>
      </w:r>
      <w:r w:rsidRPr="00262159">
        <w:rPr>
          <w:rFonts w:eastAsia="ThorndaleAMT"/>
          <w:sz w:val="20"/>
        </w:rPr>
        <w:t>Male Wistar rats were divided into six groups, consisting of six animals’ each.</w:t>
      </w:r>
      <w:r w:rsidRPr="00262159">
        <w:rPr>
          <w:sz w:val="20"/>
        </w:rPr>
        <w:t xml:space="preserve">The effect of  fractions of </w:t>
      </w:r>
      <w:r w:rsidRPr="00262159">
        <w:rPr>
          <w:i/>
          <w:color w:val="141314"/>
          <w:sz w:val="20"/>
        </w:rPr>
        <w:t>Gh</w:t>
      </w:r>
      <w:r w:rsidRPr="00262159">
        <w:rPr>
          <w:sz w:val="20"/>
        </w:rPr>
        <w:t xml:space="preserve"> on blood glucose, serum lipid profile like total cholesterol (TC), triglyceride (TG) and, serum markers  such as ALP, AST, ALT and estimation of antioxidant parameters like </w:t>
      </w:r>
      <w:r w:rsidRPr="00262159">
        <w:rPr>
          <w:rFonts w:eastAsia="ThorndaleAMT"/>
          <w:sz w:val="20"/>
        </w:rPr>
        <w:t>Superoxide dismutase (SOD), Catalase (CAT)</w:t>
      </w:r>
      <w:r w:rsidRPr="00262159">
        <w:rPr>
          <w:sz w:val="20"/>
        </w:rPr>
        <w:t xml:space="preserve"> were measured in all experimental groups.</w:t>
      </w:r>
      <w:r w:rsidRPr="00262159">
        <w:rPr>
          <w:rFonts w:eastAsia="Calibri"/>
          <w:sz w:val="20"/>
        </w:rPr>
        <w:t xml:space="preserve"> Body weight and liver glycogen levels were also additionally evaluated. Supplementation of </w:t>
      </w:r>
      <w:r w:rsidRPr="00262159">
        <w:rPr>
          <w:sz w:val="20"/>
        </w:rPr>
        <w:t xml:space="preserve">fractions of </w:t>
      </w:r>
      <w:r w:rsidRPr="00262159">
        <w:rPr>
          <w:rFonts w:eastAsia="Calibri"/>
          <w:i/>
          <w:sz w:val="20"/>
          <w:lang w:val="en-IN"/>
        </w:rPr>
        <w:t>Girardinia</w:t>
      </w:r>
      <w:r w:rsidRPr="00262159">
        <w:rPr>
          <w:rFonts w:eastAsia="Calibri"/>
          <w:i/>
          <w:iCs/>
          <w:sz w:val="20"/>
          <w:lang w:val="en-IN"/>
        </w:rPr>
        <w:t xml:space="preserve"> heterophylla</w:t>
      </w:r>
      <w:r w:rsidRPr="00262159">
        <w:rPr>
          <w:sz w:val="20"/>
        </w:rPr>
        <w:t xml:space="preserve"> </w:t>
      </w:r>
      <w:r w:rsidRPr="00262159">
        <w:rPr>
          <w:rFonts w:eastAsia="Calibri"/>
          <w:sz w:val="20"/>
        </w:rPr>
        <w:t xml:space="preserve">by gavage </w:t>
      </w:r>
      <w:r w:rsidRPr="00262159">
        <w:rPr>
          <w:sz w:val="20"/>
        </w:rPr>
        <w:t xml:space="preserve">elicited significant </w:t>
      </w:r>
      <w:r w:rsidRPr="00262159">
        <w:rPr>
          <w:rFonts w:eastAsia="Calibri"/>
          <w:sz w:val="20"/>
        </w:rPr>
        <w:t xml:space="preserve">antihyperglycemic and hypolipidemic effects (p&lt;0.05). The fractions were also found to be significantly effective (p&lt;0.05) on recovery of altered biochemical parameters like </w:t>
      </w:r>
      <w:r w:rsidRPr="00262159">
        <w:rPr>
          <w:sz w:val="20"/>
        </w:rPr>
        <w:t>ALP, AST, ALT</w:t>
      </w:r>
      <w:r w:rsidRPr="00262159">
        <w:rPr>
          <w:rFonts w:eastAsia="Calibri"/>
          <w:sz w:val="20"/>
        </w:rPr>
        <w:t xml:space="preserve"> and decreased body weight in treated animals. Moreover this supplementation significantly improved the antioxidant status (p&lt;0.05)  and increases the glycogen level in liver (</w:t>
      </w:r>
      <w:r w:rsidRPr="00262159">
        <w:rPr>
          <w:rFonts w:eastAsia="ThorndaleAMT"/>
          <w:color w:val="000000"/>
          <w:sz w:val="20"/>
        </w:rPr>
        <w:t>9.65± 0.17</w:t>
      </w:r>
      <w:r w:rsidRPr="00262159">
        <w:rPr>
          <w:rFonts w:eastAsia="Calibri"/>
          <w:sz w:val="20"/>
        </w:rPr>
        <w:t>) as compared to diabetic control (</w:t>
      </w:r>
      <w:r w:rsidRPr="00262159">
        <w:rPr>
          <w:rFonts w:eastAsia="ThorndaleAMT"/>
          <w:color w:val="000000"/>
          <w:sz w:val="20"/>
        </w:rPr>
        <w:t>5.42±0.17</w:t>
      </w:r>
      <w:r w:rsidRPr="00262159">
        <w:rPr>
          <w:rFonts w:eastAsia="Calibri"/>
          <w:sz w:val="20"/>
        </w:rPr>
        <w:t xml:space="preserve">).Moreover, Histopathological studies of pancreas and liver in diabetic and treated groups  substantiate the cyto protective action of </w:t>
      </w:r>
      <w:r w:rsidRPr="00262159">
        <w:rPr>
          <w:rFonts w:eastAsia="Calibri"/>
          <w:i/>
          <w:iCs/>
          <w:sz w:val="20"/>
          <w:lang w:val="en-IN"/>
        </w:rPr>
        <w:t>Girardinia heterophylla</w:t>
      </w:r>
      <w:r w:rsidRPr="00262159">
        <w:rPr>
          <w:rFonts w:eastAsia="Calibri"/>
          <w:sz w:val="20"/>
        </w:rPr>
        <w:t xml:space="preserve">. </w:t>
      </w:r>
      <w:r w:rsidRPr="00262159">
        <w:rPr>
          <w:sz w:val="20"/>
        </w:rPr>
        <w:t xml:space="preserve">In conclusion, ethanol fractions of </w:t>
      </w:r>
      <w:r w:rsidRPr="00262159">
        <w:rPr>
          <w:rFonts w:eastAsia="Calibri"/>
          <w:i/>
          <w:sz w:val="20"/>
          <w:lang w:val="en-IN"/>
        </w:rPr>
        <w:t>Girardinia</w:t>
      </w:r>
      <w:r w:rsidRPr="00262159">
        <w:rPr>
          <w:rFonts w:eastAsia="Calibri"/>
          <w:i/>
          <w:iCs/>
          <w:sz w:val="20"/>
          <w:lang w:val="en-IN"/>
        </w:rPr>
        <w:t xml:space="preserve"> heterophylla</w:t>
      </w:r>
      <w:r w:rsidRPr="00262159">
        <w:rPr>
          <w:sz w:val="20"/>
        </w:rPr>
        <w:t xml:space="preserve"> offers promising antidiabetic and anti hyperlipedemic and antioxidant potential that may be mainly attributed to its potent antioxidant properties.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>
        <w:t>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262159" w:rsidRPr="008F4336" w:rsidRDefault="00262159" w:rsidP="00262159">
      <w:pPr>
        <w:widowControl/>
        <w:autoSpaceDE w:val="0"/>
        <w:autoSpaceDN w:val="0"/>
        <w:adjustRightInd w:val="0"/>
        <w:jc w:val="both"/>
        <w:rPr>
          <w:rFonts w:asciiTheme="minorHAnsi" w:hAnsiTheme="minorHAnsi"/>
          <w:b/>
          <w:sz w:val="18"/>
          <w:szCs w:val="18"/>
        </w:rPr>
      </w:pPr>
      <w:r>
        <w:rPr>
          <w:rFonts w:asciiTheme="minorHAnsi" w:eastAsiaTheme="minorHAnsi" w:hAnsiTheme="minorHAnsi" w:cs="QdcjvxAdvTTb8864ccf.B"/>
          <w:color w:val="131413"/>
          <w:sz w:val="18"/>
          <w:szCs w:val="18"/>
        </w:rPr>
        <w:t xml:space="preserve">1. </w:t>
      </w:r>
      <w:r w:rsidRPr="008F4336">
        <w:rPr>
          <w:rFonts w:asciiTheme="minorHAnsi" w:eastAsiaTheme="minorHAnsi" w:hAnsiTheme="minorHAnsi" w:cs="QdcjvxAdvTTb8864ccf.B"/>
          <w:b/>
          <w:color w:val="131413"/>
          <w:sz w:val="18"/>
          <w:szCs w:val="18"/>
        </w:rPr>
        <w:t xml:space="preserve">S. Mohanalakshmi </w:t>
      </w:r>
      <w:r w:rsidRPr="008F4336">
        <w:rPr>
          <w:rFonts w:asciiTheme="minorHAnsi" w:eastAsiaTheme="minorHAnsi" w:hAnsiTheme="minorHAnsi" w:cs="CwrrkhAdvP0005"/>
          <w:color w:val="131413"/>
          <w:sz w:val="18"/>
          <w:szCs w:val="18"/>
        </w:rPr>
        <w:t xml:space="preserve">&amp; </w:t>
      </w:r>
      <w:r w:rsidRPr="008F4336">
        <w:rPr>
          <w:rFonts w:asciiTheme="minorHAnsi" w:eastAsiaTheme="minorHAnsi" w:hAnsiTheme="minorHAnsi" w:cs="QdcjvxAdvTTb8864ccf.B"/>
          <w:color w:val="131413"/>
          <w:sz w:val="18"/>
          <w:szCs w:val="18"/>
        </w:rPr>
        <w:t xml:space="preserve">C. K. Ashok Kumar </w:t>
      </w:r>
      <w:r w:rsidRPr="008F4336">
        <w:rPr>
          <w:rFonts w:asciiTheme="minorHAnsi" w:eastAsiaTheme="minorHAnsi" w:hAnsiTheme="minorHAnsi" w:cs="CwrrkhAdvP0005"/>
          <w:color w:val="131413"/>
          <w:sz w:val="18"/>
          <w:szCs w:val="18"/>
        </w:rPr>
        <w:t xml:space="preserve">&amp; </w:t>
      </w:r>
      <w:r w:rsidRPr="008F4336">
        <w:rPr>
          <w:rFonts w:asciiTheme="minorHAnsi" w:eastAsiaTheme="minorHAnsi" w:hAnsiTheme="minorHAnsi" w:cs="QdcjvxAdvTTb8864ccf.B"/>
          <w:color w:val="131413"/>
          <w:sz w:val="18"/>
          <w:szCs w:val="18"/>
        </w:rPr>
        <w:t xml:space="preserve">R. Jayaraman </w:t>
      </w:r>
      <w:r w:rsidRPr="008F4336">
        <w:rPr>
          <w:rFonts w:asciiTheme="minorHAnsi" w:eastAsiaTheme="minorHAnsi" w:hAnsiTheme="minorHAnsi" w:cs="CwrrkhAdvP0005"/>
          <w:color w:val="131413"/>
          <w:sz w:val="18"/>
          <w:szCs w:val="18"/>
        </w:rPr>
        <w:t xml:space="preserve">&amp; </w:t>
      </w:r>
      <w:r w:rsidRPr="008F4336">
        <w:rPr>
          <w:rFonts w:asciiTheme="minorHAnsi" w:eastAsiaTheme="minorHAnsi" w:hAnsiTheme="minorHAnsi" w:cs="QdcjvxAdvTTb8864ccf.B"/>
          <w:color w:val="131413"/>
          <w:sz w:val="18"/>
          <w:szCs w:val="18"/>
        </w:rPr>
        <w:t xml:space="preserve">M. Pooja Anti-diabetic, lipid lowering and antioxidant potential of </w:t>
      </w:r>
      <w:r w:rsidRPr="008F4336">
        <w:rPr>
          <w:rFonts w:asciiTheme="minorHAnsi" w:eastAsiaTheme="minorHAnsi" w:hAnsiTheme="minorHAnsi" w:cs="QtnpmsAdvTTec61d777.BI"/>
          <w:color w:val="131413"/>
          <w:sz w:val="18"/>
          <w:szCs w:val="18"/>
        </w:rPr>
        <w:t xml:space="preserve">Girardinia heterophylla </w:t>
      </w:r>
      <w:r w:rsidRPr="008F4336">
        <w:rPr>
          <w:rFonts w:asciiTheme="minorHAnsi" w:eastAsiaTheme="minorHAnsi" w:hAnsiTheme="minorHAnsi" w:cs="QdcjvxAdvTTb8864ccf.B"/>
          <w:color w:val="131413"/>
          <w:sz w:val="18"/>
          <w:szCs w:val="18"/>
        </w:rPr>
        <w:t>in high fat diet and streptozotocin induced diabetic rats,.</w:t>
      </w:r>
      <w:r w:rsidRPr="00C6083E">
        <w:rPr>
          <w:rFonts w:ascii="VkwrscAdvTT3713a231" w:eastAsiaTheme="minorHAnsi" w:hAnsi="VkwrscAdvTT3713a231" w:cs="VkwrscAdvTT3713a231"/>
          <w:color w:val="131413"/>
          <w:sz w:val="17"/>
          <w:szCs w:val="17"/>
        </w:rPr>
        <w:t xml:space="preserve"> </w:t>
      </w:r>
      <w:r>
        <w:rPr>
          <w:rFonts w:ascii="VkwrscAdvTT3713a231" w:eastAsiaTheme="minorHAnsi" w:hAnsi="VkwrscAdvTT3713a231" w:cs="VkwrscAdvTT3713a231"/>
          <w:color w:val="131413"/>
          <w:sz w:val="17"/>
          <w:szCs w:val="17"/>
        </w:rPr>
        <w:t>Orient Pharm Exp Med (2015) 15:287</w:t>
      </w:r>
      <w:r>
        <w:rPr>
          <w:rFonts w:ascii="QlpcdxAdvTT3713a231+20" w:eastAsiaTheme="minorHAnsi" w:hAnsi="QlpcdxAdvTT3713a231+20" w:cs="QlpcdxAdvTT3713a231+20"/>
          <w:color w:val="131413"/>
          <w:sz w:val="17"/>
          <w:szCs w:val="17"/>
        </w:rPr>
        <w:t>–</w:t>
      </w:r>
      <w:r>
        <w:rPr>
          <w:rFonts w:ascii="VkwrscAdvTT3713a231" w:eastAsiaTheme="minorHAnsi" w:hAnsi="VkwrscAdvTT3713a231" w:cs="VkwrscAdvTT3713a231"/>
          <w:color w:val="131413"/>
          <w:sz w:val="17"/>
          <w:szCs w:val="17"/>
        </w:rPr>
        <w:t>295.</w:t>
      </w:r>
    </w:p>
    <w:p w:rsidR="00262159" w:rsidRPr="00953210" w:rsidRDefault="00262159" w:rsidP="00262159">
      <w:pPr>
        <w:spacing w:line="200" w:lineRule="exact"/>
        <w:jc w:val="both"/>
        <w:rPr>
          <w:rFonts w:ascii="Calibri" w:hAnsi="Calibri"/>
          <w:sz w:val="20"/>
          <w:szCs w:val="20"/>
        </w:rPr>
      </w:pPr>
    </w:p>
    <w:p w:rsidR="00262159" w:rsidRPr="00E16DCD" w:rsidRDefault="00262159" w:rsidP="00262159">
      <w:pPr>
        <w:spacing w:line="204" w:lineRule="exact"/>
        <w:jc w:val="both"/>
        <w:rPr>
          <w:rFonts w:asciiTheme="minorHAnsi" w:eastAsiaTheme="minorHAnsi" w:hAnsiTheme="minorHAnsi" w:cs="AdvOT863180fb"/>
          <w:color w:val="000000" w:themeColor="text1"/>
          <w:sz w:val="18"/>
          <w:szCs w:val="18"/>
        </w:rPr>
      </w:pPr>
      <w:r>
        <w:rPr>
          <w:rFonts w:asciiTheme="minorHAnsi" w:hAnsiTheme="minorHAnsi"/>
          <w:b/>
          <w:color w:val="000000" w:themeColor="text1"/>
          <w:sz w:val="18"/>
          <w:szCs w:val="18"/>
        </w:rPr>
        <w:t>2</w:t>
      </w:r>
      <w:r w:rsidRPr="00E16DCD">
        <w:rPr>
          <w:rFonts w:asciiTheme="minorHAnsi" w:hAnsiTheme="minorHAnsi"/>
          <w:b/>
          <w:color w:val="000000" w:themeColor="text1"/>
          <w:sz w:val="18"/>
          <w:szCs w:val="18"/>
        </w:rPr>
        <w:t xml:space="preserve">. </w:t>
      </w:r>
      <w:r w:rsidRPr="00E16DCD">
        <w:rPr>
          <w:rFonts w:asciiTheme="minorHAnsi" w:eastAsiaTheme="minorHAnsi" w:hAnsiTheme="minorHAnsi" w:cs="AdvOT863180fb"/>
          <w:color w:val="000000" w:themeColor="text1"/>
          <w:sz w:val="18"/>
          <w:szCs w:val="18"/>
        </w:rPr>
        <w:t xml:space="preserve">Narahari N. Palei , Bibhash C. Mohanta , </w:t>
      </w:r>
      <w:r w:rsidRPr="00E16DCD">
        <w:rPr>
          <w:rFonts w:asciiTheme="minorHAnsi" w:eastAsiaTheme="minorHAnsi" w:hAnsiTheme="minorHAnsi" w:cs="AdvTT5843c571"/>
          <w:color w:val="000000" w:themeColor="text1"/>
          <w:sz w:val="18"/>
          <w:szCs w:val="18"/>
        </w:rPr>
        <w:t>*</w:t>
      </w:r>
      <w:r w:rsidRPr="00E16DCD">
        <w:rPr>
          <w:rFonts w:asciiTheme="minorHAnsi" w:eastAsiaTheme="minorHAnsi" w:hAnsiTheme="minorHAnsi" w:cs="AdvOT863180fb"/>
          <w:color w:val="000000" w:themeColor="text1"/>
          <w:sz w:val="18"/>
          <w:szCs w:val="18"/>
        </w:rPr>
        <w:t xml:space="preserve">, Malay K. Das , </w:t>
      </w:r>
      <w:r w:rsidRPr="00E16DCD">
        <w:rPr>
          <w:rFonts w:asciiTheme="minorHAnsi" w:eastAsiaTheme="minorHAnsi" w:hAnsiTheme="minorHAnsi" w:cs="AdvOT863180fb"/>
          <w:b/>
          <w:color w:val="000000" w:themeColor="text1"/>
          <w:sz w:val="18"/>
          <w:szCs w:val="18"/>
        </w:rPr>
        <w:t>Mohana Lakshmi Sabapathi,</w:t>
      </w:r>
      <w:r w:rsidRPr="00E16DCD">
        <w:rPr>
          <w:rFonts w:asciiTheme="minorHAnsi" w:eastAsiaTheme="minorHAnsi" w:hAnsiTheme="minorHAnsi" w:cs="AdvOT863180fb"/>
          <w:color w:val="000000" w:themeColor="text1"/>
          <w:sz w:val="18"/>
          <w:szCs w:val="18"/>
        </w:rPr>
        <w:t xml:space="preserve"> Lornoxicam loaded nanostructured lipid carriers for topical delivery:</w:t>
      </w:r>
      <w:r>
        <w:rPr>
          <w:rFonts w:asciiTheme="minorHAnsi" w:eastAsiaTheme="minorHAnsi" w:hAnsiTheme="minorHAnsi" w:cs="AdvOT863180fb"/>
          <w:color w:val="000000" w:themeColor="text1"/>
          <w:sz w:val="18"/>
          <w:szCs w:val="18"/>
        </w:rPr>
        <w:t xml:space="preserve"> </w:t>
      </w:r>
      <w:r w:rsidRPr="00E16DCD">
        <w:rPr>
          <w:rFonts w:asciiTheme="minorHAnsi" w:eastAsiaTheme="minorHAnsi" w:hAnsiTheme="minorHAnsi" w:cs="AdvOT863180fb"/>
          <w:color w:val="000000" w:themeColor="text1"/>
          <w:sz w:val="18"/>
          <w:szCs w:val="18"/>
        </w:rPr>
        <w:t xml:space="preserve">Optimization, skin uptake and </w:t>
      </w:r>
      <w:r w:rsidRPr="00E16DCD">
        <w:rPr>
          <w:rFonts w:asciiTheme="minorHAnsi" w:eastAsiaTheme="minorHAnsi" w:hAnsiTheme="minorHAnsi" w:cs="AdvOTb92eb7df.I"/>
          <w:color w:val="000000" w:themeColor="text1"/>
          <w:sz w:val="18"/>
          <w:szCs w:val="18"/>
        </w:rPr>
        <w:t xml:space="preserve">in vivo </w:t>
      </w:r>
      <w:r w:rsidRPr="00E16DCD">
        <w:rPr>
          <w:rFonts w:asciiTheme="minorHAnsi" w:eastAsiaTheme="minorHAnsi" w:hAnsiTheme="minorHAnsi" w:cs="AdvOT863180fb"/>
          <w:color w:val="000000" w:themeColor="text1"/>
          <w:sz w:val="18"/>
          <w:szCs w:val="18"/>
        </w:rPr>
        <w:t>studies</w:t>
      </w:r>
      <w:r>
        <w:rPr>
          <w:rFonts w:asciiTheme="minorHAnsi" w:eastAsiaTheme="minorHAnsi" w:hAnsiTheme="minorHAnsi" w:cs="AdvOT863180fb"/>
          <w:color w:val="000000" w:themeColor="text1"/>
          <w:sz w:val="18"/>
          <w:szCs w:val="18"/>
        </w:rPr>
        <w:t xml:space="preserve">. </w:t>
      </w:r>
      <w:r w:rsidRPr="00E16DCD">
        <w:rPr>
          <w:rFonts w:asciiTheme="minorHAnsi" w:eastAsiaTheme="minorHAnsi" w:hAnsiTheme="minorHAnsi" w:cs="AdvOT863180fb"/>
          <w:color w:val="000000" w:themeColor="text1"/>
          <w:sz w:val="18"/>
          <w:szCs w:val="18"/>
        </w:rPr>
        <w:t>Journal of Drug Delivery Science and Technology 39 (2017) 490</w:t>
      </w:r>
      <w:r>
        <w:rPr>
          <w:rFonts w:asciiTheme="minorHAnsi" w:eastAsiaTheme="minorHAnsi" w:hAnsiTheme="minorHAnsi" w:cs="AdvPS44A44B"/>
          <w:color w:val="000000" w:themeColor="text1"/>
          <w:sz w:val="18"/>
          <w:szCs w:val="18"/>
        </w:rPr>
        <w:t xml:space="preserve"> – </w:t>
      </w:r>
      <w:r w:rsidRPr="00E16DCD">
        <w:rPr>
          <w:rFonts w:asciiTheme="minorHAnsi" w:eastAsiaTheme="minorHAnsi" w:hAnsiTheme="minorHAnsi" w:cs="AdvOT863180fb"/>
          <w:color w:val="000000" w:themeColor="text1"/>
          <w:sz w:val="18"/>
          <w:szCs w:val="18"/>
        </w:rPr>
        <w:t>500</w:t>
      </w:r>
      <w:r>
        <w:rPr>
          <w:rFonts w:asciiTheme="minorHAnsi" w:eastAsiaTheme="minorHAnsi" w:hAnsiTheme="minorHAnsi" w:cs="AdvOT863180fb"/>
          <w:color w:val="000000" w:themeColor="text1"/>
          <w:sz w:val="18"/>
          <w:szCs w:val="18"/>
        </w:rPr>
        <w:t>.</w:t>
      </w:r>
    </w:p>
    <w:p w:rsidR="00262159" w:rsidRDefault="00262159" w:rsidP="00262159">
      <w:pPr>
        <w:spacing w:line="204" w:lineRule="exact"/>
        <w:jc w:val="both"/>
        <w:rPr>
          <w:rFonts w:asciiTheme="minorHAnsi" w:eastAsiaTheme="minorHAnsi" w:hAnsiTheme="minorHAnsi" w:cs="AdvOT863180fb"/>
          <w:color w:val="000000" w:themeColor="text1"/>
          <w:sz w:val="18"/>
          <w:szCs w:val="18"/>
        </w:rPr>
      </w:pPr>
    </w:p>
    <w:p w:rsidR="00262159" w:rsidRDefault="00262159" w:rsidP="00262159">
      <w:pPr>
        <w:pStyle w:val="Default"/>
        <w:jc w:val="both"/>
        <w:rPr>
          <w:rFonts w:ascii="AdvTT3713a231" w:hAnsi="AdvTT3713a231" w:cs="AdvTT3713a231"/>
          <w:color w:val="131413"/>
          <w:sz w:val="17"/>
          <w:szCs w:val="17"/>
        </w:rPr>
      </w:pPr>
      <w:r>
        <w:rPr>
          <w:rFonts w:asciiTheme="minorHAnsi" w:hAnsiTheme="minorHAnsi" w:cs="AdvTTb8864ccf.B"/>
          <w:color w:val="131413"/>
          <w:sz w:val="18"/>
          <w:szCs w:val="18"/>
        </w:rPr>
        <w:t xml:space="preserve">3. </w:t>
      </w:r>
      <w:r w:rsidRPr="00914B07">
        <w:rPr>
          <w:rFonts w:asciiTheme="minorHAnsi" w:hAnsiTheme="minorHAnsi" w:cs="AdvTTb8864ccf.B"/>
          <w:color w:val="131413"/>
          <w:sz w:val="18"/>
          <w:szCs w:val="18"/>
        </w:rPr>
        <w:t xml:space="preserve">Arun Rasheed </w:t>
      </w:r>
      <w:r w:rsidRPr="00914B07">
        <w:rPr>
          <w:rFonts w:asciiTheme="minorHAnsi" w:hAnsiTheme="minorHAnsi" w:cs="AdvP0005"/>
          <w:color w:val="131413"/>
          <w:sz w:val="18"/>
          <w:szCs w:val="18"/>
        </w:rPr>
        <w:t xml:space="preserve">&amp; </w:t>
      </w:r>
      <w:r w:rsidRPr="00914B07">
        <w:rPr>
          <w:rFonts w:asciiTheme="minorHAnsi" w:hAnsiTheme="minorHAnsi" w:cs="AdvTTb8864ccf.B"/>
          <w:color w:val="131413"/>
          <w:sz w:val="18"/>
          <w:szCs w:val="18"/>
        </w:rPr>
        <w:t xml:space="preserve">S. Neelufar Shama </w:t>
      </w:r>
      <w:r w:rsidRPr="00914B07">
        <w:rPr>
          <w:rFonts w:asciiTheme="minorHAnsi" w:hAnsiTheme="minorHAnsi" w:cs="AdvP0005"/>
          <w:color w:val="131413"/>
          <w:sz w:val="18"/>
          <w:szCs w:val="18"/>
        </w:rPr>
        <w:t xml:space="preserve">&amp; </w:t>
      </w:r>
      <w:r w:rsidRPr="00914B07">
        <w:rPr>
          <w:rFonts w:asciiTheme="minorHAnsi" w:hAnsiTheme="minorHAnsi" w:cs="AdvTTb8864ccf.B"/>
          <w:b/>
          <w:color w:val="131413"/>
          <w:sz w:val="18"/>
          <w:szCs w:val="18"/>
        </w:rPr>
        <w:t>S. Mohanalakshmi</w:t>
      </w:r>
      <w:r w:rsidRPr="00914B07">
        <w:rPr>
          <w:rFonts w:asciiTheme="minorHAnsi" w:hAnsiTheme="minorHAnsi" w:cs="AdvTTb8864ccf.B"/>
          <w:color w:val="131413"/>
          <w:sz w:val="18"/>
          <w:szCs w:val="18"/>
        </w:rPr>
        <w:t xml:space="preserve"> </w:t>
      </w:r>
      <w:r w:rsidRPr="00914B07">
        <w:rPr>
          <w:rFonts w:asciiTheme="minorHAnsi" w:hAnsiTheme="minorHAnsi" w:cs="AdvP0005"/>
          <w:color w:val="131413"/>
          <w:sz w:val="18"/>
          <w:szCs w:val="18"/>
        </w:rPr>
        <w:t xml:space="preserve">&amp; </w:t>
      </w:r>
      <w:r w:rsidRPr="00914B07">
        <w:rPr>
          <w:rFonts w:asciiTheme="minorHAnsi" w:hAnsiTheme="minorHAnsi" w:cs="AdvTTb8864ccf.B"/>
          <w:color w:val="131413"/>
          <w:sz w:val="18"/>
          <w:szCs w:val="18"/>
        </w:rPr>
        <w:t xml:space="preserve">V. Ravichandran, Formulation, characterization and </w:t>
      </w:r>
      <w:r w:rsidRPr="00914B07">
        <w:rPr>
          <w:rFonts w:asciiTheme="minorHAnsi" w:hAnsiTheme="minorHAnsi" w:cs="AdvTTec61d777.BI"/>
          <w:color w:val="131413"/>
          <w:sz w:val="18"/>
          <w:szCs w:val="18"/>
        </w:rPr>
        <w:t xml:space="preserve">in vitro </w:t>
      </w:r>
      <w:r w:rsidRPr="00914B07">
        <w:rPr>
          <w:rFonts w:asciiTheme="minorHAnsi" w:hAnsiTheme="minorHAnsi" w:cs="AdvTTb8864ccf.B"/>
          <w:color w:val="131413"/>
          <w:sz w:val="18"/>
          <w:szCs w:val="18"/>
        </w:rPr>
        <w:t xml:space="preserve">evaluation of herbal sunscreen lotion, </w:t>
      </w:r>
      <w:r w:rsidRPr="00914B07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="AdvTT3713a231" w:hAnsi="AdvTT3713a231" w:cs="AdvTT3713a231"/>
          <w:color w:val="131413"/>
          <w:sz w:val="17"/>
          <w:szCs w:val="17"/>
        </w:rPr>
        <w:t>Orient Pharm Exp Med (2012) 12:241</w:t>
      </w:r>
      <w:r>
        <w:rPr>
          <w:rFonts w:ascii="AdvTT3713a231+20" w:hAnsi="AdvTT3713a231+20" w:cs="AdvTT3713a231+20"/>
          <w:color w:val="131413"/>
          <w:sz w:val="17"/>
          <w:szCs w:val="17"/>
        </w:rPr>
        <w:t>–</w:t>
      </w:r>
      <w:r>
        <w:rPr>
          <w:rFonts w:ascii="AdvTT3713a231" w:hAnsi="AdvTT3713a231" w:cs="AdvTT3713a231"/>
          <w:color w:val="131413"/>
          <w:sz w:val="17"/>
          <w:szCs w:val="17"/>
        </w:rPr>
        <w:t>246.</w:t>
      </w:r>
    </w:p>
    <w:p w:rsidR="00262159" w:rsidRDefault="00262159" w:rsidP="00262159">
      <w:pPr>
        <w:pStyle w:val="Default"/>
        <w:jc w:val="both"/>
        <w:rPr>
          <w:rFonts w:ascii="AdvTT3713a231" w:hAnsi="AdvTT3713a231" w:cs="AdvTT3713a231"/>
          <w:color w:val="131413"/>
          <w:sz w:val="17"/>
          <w:szCs w:val="17"/>
        </w:rPr>
      </w:pPr>
    </w:p>
    <w:p w:rsidR="00262159" w:rsidRDefault="00262159" w:rsidP="00262159">
      <w:pPr>
        <w:widowControl/>
        <w:autoSpaceDE w:val="0"/>
        <w:autoSpaceDN w:val="0"/>
        <w:adjustRightInd w:val="0"/>
        <w:jc w:val="both"/>
        <w:rPr>
          <w:rFonts w:ascii="MyriadPro-Regular" w:eastAsiaTheme="minorHAnsi" w:hAnsi="MyriadPro-Regular" w:cs="MyriadPro-Regular"/>
          <w:sz w:val="15"/>
          <w:szCs w:val="15"/>
        </w:rPr>
      </w:pPr>
      <w:r>
        <w:rPr>
          <w:rFonts w:asciiTheme="minorHAnsi" w:eastAsiaTheme="minorHAnsi" w:hAnsiTheme="minorHAnsi" w:cs="UtopiaStd-Disp"/>
          <w:sz w:val="18"/>
          <w:szCs w:val="18"/>
        </w:rPr>
        <w:t xml:space="preserve">4. </w:t>
      </w:r>
      <w:r w:rsidRPr="009D5AAE">
        <w:rPr>
          <w:rFonts w:asciiTheme="minorHAnsi" w:eastAsiaTheme="minorHAnsi" w:hAnsiTheme="minorHAnsi" w:cs="UtopiaStd-Regular"/>
          <w:sz w:val="18"/>
          <w:szCs w:val="18"/>
        </w:rPr>
        <w:t xml:space="preserve">Arun Rasheed, G. Avinash Kumar Reddy, </w:t>
      </w:r>
      <w:r w:rsidRPr="009D5AAE">
        <w:rPr>
          <w:rFonts w:asciiTheme="minorHAnsi" w:eastAsiaTheme="minorHAnsi" w:hAnsiTheme="minorHAnsi" w:cs="UtopiaStd-Regular"/>
          <w:b/>
          <w:sz w:val="18"/>
          <w:szCs w:val="18"/>
        </w:rPr>
        <w:t>S. Mohanalakshmi,</w:t>
      </w:r>
      <w:r w:rsidRPr="009D5AAE">
        <w:rPr>
          <w:rFonts w:asciiTheme="minorHAnsi" w:eastAsiaTheme="minorHAnsi" w:hAnsiTheme="minorHAnsi" w:cs="UtopiaStd-Regular"/>
          <w:sz w:val="18"/>
          <w:szCs w:val="18"/>
        </w:rPr>
        <w:t xml:space="preserve"> and C.K. Ashok Kumar</w:t>
      </w:r>
      <w:r w:rsidRPr="009D5AAE">
        <w:rPr>
          <w:rFonts w:asciiTheme="minorHAnsi" w:eastAsiaTheme="minorHAnsi" w:hAnsiTheme="minorHAnsi" w:cs="UtopiaStd-Disp"/>
          <w:sz w:val="18"/>
          <w:szCs w:val="18"/>
        </w:rPr>
        <w:t xml:space="preserve"> Formulation and comparative evaluation of poly herbal anti-</w:t>
      </w:r>
      <w:r>
        <w:rPr>
          <w:rFonts w:asciiTheme="minorHAnsi" w:eastAsiaTheme="minorHAnsi" w:hAnsiTheme="minorHAnsi" w:cs="UtopiaStd-Disp"/>
          <w:sz w:val="18"/>
          <w:szCs w:val="18"/>
        </w:rPr>
        <w:t xml:space="preserve"> </w:t>
      </w:r>
      <w:r w:rsidRPr="009D5AAE">
        <w:rPr>
          <w:rFonts w:asciiTheme="minorHAnsi" w:eastAsiaTheme="minorHAnsi" w:hAnsiTheme="minorHAnsi" w:cs="UtopiaStd-Disp"/>
          <w:sz w:val="18"/>
          <w:szCs w:val="18"/>
        </w:rPr>
        <w:t>acne face wash gels</w:t>
      </w:r>
      <w:r>
        <w:rPr>
          <w:rFonts w:asciiTheme="minorHAnsi" w:eastAsiaTheme="minorHAnsi" w:hAnsiTheme="minorHAnsi" w:cs="UtopiaStd-Disp"/>
          <w:sz w:val="18"/>
          <w:szCs w:val="18"/>
        </w:rPr>
        <w:t xml:space="preserve">, </w:t>
      </w:r>
      <w:r>
        <w:rPr>
          <w:rFonts w:asciiTheme="minorHAnsi" w:eastAsiaTheme="minorHAnsi" w:hAnsiTheme="minorHAnsi" w:cs="UtopiaStd-Regular"/>
          <w:sz w:val="18"/>
          <w:szCs w:val="18"/>
        </w:rPr>
        <w:t xml:space="preserve">, </w:t>
      </w:r>
      <w:r>
        <w:rPr>
          <w:rFonts w:ascii="MyriadPro-It" w:eastAsiaTheme="minorHAnsi" w:hAnsi="MyriadPro-It" w:cs="MyriadPro-It"/>
          <w:i/>
          <w:iCs/>
          <w:sz w:val="15"/>
          <w:szCs w:val="15"/>
        </w:rPr>
        <w:t>Pharmaceutical Biology</w:t>
      </w:r>
      <w:r>
        <w:rPr>
          <w:rFonts w:ascii="MyriadPro-Regular" w:eastAsiaTheme="minorHAnsi" w:hAnsi="MyriadPro-Regular" w:cs="MyriadPro-Regular"/>
          <w:sz w:val="15"/>
          <w:szCs w:val="15"/>
        </w:rPr>
        <w:t>, 2011; 49(8): 771–774.</w:t>
      </w:r>
    </w:p>
    <w:p w:rsidR="00262159" w:rsidRDefault="00262159" w:rsidP="00262159">
      <w:pPr>
        <w:widowControl/>
        <w:autoSpaceDE w:val="0"/>
        <w:autoSpaceDN w:val="0"/>
        <w:adjustRightInd w:val="0"/>
        <w:jc w:val="both"/>
        <w:rPr>
          <w:rFonts w:ascii="MyriadPro-Regular" w:eastAsiaTheme="minorHAnsi" w:hAnsi="MyriadPro-Regular" w:cs="MyriadPro-Regular"/>
          <w:sz w:val="15"/>
          <w:szCs w:val="15"/>
        </w:rPr>
      </w:pPr>
    </w:p>
    <w:p w:rsidR="00262159" w:rsidRPr="00C6083E" w:rsidRDefault="00262159" w:rsidP="00262159">
      <w:pPr>
        <w:pStyle w:val="Default"/>
        <w:jc w:val="both"/>
        <w:rPr>
          <w:rFonts w:asciiTheme="minorHAnsi" w:hAnsiTheme="minorHAnsi" w:cs="Cambria"/>
          <w:sz w:val="18"/>
          <w:szCs w:val="18"/>
        </w:rPr>
      </w:pPr>
      <w:r w:rsidRPr="00C6083E">
        <w:rPr>
          <w:rFonts w:asciiTheme="minorHAnsi" w:hAnsiTheme="minorHAnsi" w:cs="MyriadPro-Regular"/>
          <w:sz w:val="18"/>
          <w:szCs w:val="18"/>
        </w:rPr>
        <w:t xml:space="preserve">5. </w:t>
      </w:r>
      <w:r w:rsidRPr="00C6083E">
        <w:rPr>
          <w:rFonts w:asciiTheme="minorHAnsi" w:hAnsiTheme="minorHAnsi" w:cs="Cambria"/>
          <w:sz w:val="18"/>
          <w:szCs w:val="18"/>
        </w:rPr>
        <w:t xml:space="preserve"> </w:t>
      </w:r>
      <w:r w:rsidRPr="00C6083E">
        <w:rPr>
          <w:rFonts w:asciiTheme="minorHAnsi" w:hAnsiTheme="minorHAnsi" w:cs="Cambria"/>
          <w:b/>
          <w:bCs/>
          <w:sz w:val="18"/>
          <w:szCs w:val="18"/>
        </w:rPr>
        <w:t>Mohana Lakshmi. S*,</w:t>
      </w:r>
      <w:r w:rsidRPr="00C6083E">
        <w:rPr>
          <w:rFonts w:asciiTheme="minorHAnsi" w:hAnsiTheme="minorHAnsi" w:cs="Cambria"/>
          <w:bCs/>
          <w:sz w:val="18"/>
          <w:szCs w:val="18"/>
        </w:rPr>
        <w:t xml:space="preserve"> Usha Kiran Reddy. T And Sandhya Rani. KS, A Review On Medicinal Plants For Nephroprotective Activity, </w:t>
      </w:r>
      <w:r w:rsidRPr="00C6083E">
        <w:rPr>
          <w:rFonts w:asciiTheme="minorHAnsi" w:hAnsiTheme="minorHAnsi"/>
          <w:sz w:val="18"/>
          <w:szCs w:val="18"/>
        </w:rPr>
        <w:t xml:space="preserve"> Asian Journal of Pharmaceutical and Clinical Research,  5: 4, 2012.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262159">
      <w:pPr>
        <w:pStyle w:val="BodyText"/>
        <w:rPr>
          <w:rFonts w:ascii="Calibri"/>
          <w:sz w:val="20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60.25pt;margin-top:1.25pt;width:424.3pt;height:117.85pt;z-index:251658240;mso-width-relative:margin;mso-height-relative:margin">
            <v:textbox style="mso-next-textbox:#_x0000_s1029">
              <w:txbxContent>
                <w:p w:rsidR="00262159" w:rsidRPr="00C6083E" w:rsidRDefault="00262159" w:rsidP="00262159">
                  <w:pPr>
                    <w:tabs>
                      <w:tab w:val="left" w:pos="6660"/>
                      <w:tab w:val="left" w:pos="10440"/>
                    </w:tabs>
                    <w:spacing w:before="62"/>
                    <w:ind w:right="27"/>
                    <w:jc w:val="both"/>
                    <w:rPr>
                      <w:rFonts w:ascii="Verdana" w:hAnsi="Verdana" w:cs="Arial"/>
                      <w:sz w:val="16"/>
                      <w:szCs w:val="18"/>
                    </w:rPr>
                  </w:pPr>
                  <w:r w:rsidRPr="00C6083E">
                    <w:rPr>
                      <w:rFonts w:ascii="Verdana" w:hAnsi="Verdana"/>
                      <w:b/>
                      <w:sz w:val="16"/>
                      <w:szCs w:val="18"/>
                    </w:rPr>
                    <w:t xml:space="preserve">Dr. S. Mohana Lakshmi, </w:t>
                  </w:r>
                  <w:r w:rsidRPr="00C6083E">
                    <w:rPr>
                      <w:rFonts w:ascii="Verdana" w:hAnsi="Verdana"/>
                      <w:sz w:val="16"/>
                      <w:szCs w:val="18"/>
                    </w:rPr>
                    <w:t>working as</w:t>
                  </w:r>
                  <w:r w:rsidRPr="00C6083E">
                    <w:rPr>
                      <w:rFonts w:ascii="Verdana" w:hAnsi="Verdana"/>
                      <w:b/>
                      <w:sz w:val="16"/>
                      <w:szCs w:val="18"/>
                    </w:rPr>
                    <w:t xml:space="preserve"> </w:t>
                  </w:r>
                  <w:r w:rsidRPr="00C6083E">
                    <w:rPr>
                      <w:rFonts w:ascii="Verdana" w:hAnsi="Verdana"/>
                      <w:sz w:val="16"/>
                      <w:szCs w:val="18"/>
                    </w:rPr>
                    <w:t xml:space="preserve">Professor in Sree Vidyanikethan College of Pharmacy, Tirupati, A.P. She has completed her M. Pharmacy and Ph. D Jadavpur University, Kolkata, India. She has received “Career Award for Young Teachers” </w:t>
                  </w:r>
                  <w:r w:rsidRPr="00C6083E">
                    <w:rPr>
                      <w:rFonts w:ascii="Verdana" w:hAnsi="Verdana"/>
                      <w:b/>
                      <w:sz w:val="16"/>
                      <w:szCs w:val="18"/>
                    </w:rPr>
                    <w:t xml:space="preserve">from </w:t>
                  </w:r>
                  <w:r w:rsidRPr="00C6083E">
                    <w:rPr>
                      <w:rFonts w:ascii="Verdana" w:hAnsi="Verdana"/>
                      <w:sz w:val="16"/>
                      <w:szCs w:val="18"/>
                    </w:rPr>
                    <w:t xml:space="preserve">AICTE, New Delhi. She successfully completed project worth of 24, 00, 000/ - funded by AICTE. She has visited countries like Turkey, Bangladesh, Singapore and Bangkok to present her research findings. She has </w:t>
                  </w:r>
                  <w:r w:rsidRPr="00C6083E">
                    <w:rPr>
                      <w:rFonts w:ascii="Verdana" w:hAnsi="Verdana"/>
                      <w:b/>
                      <w:sz w:val="16"/>
                      <w:szCs w:val="18"/>
                    </w:rPr>
                    <w:t xml:space="preserve">published 30 research papers </w:t>
                  </w:r>
                  <w:r w:rsidRPr="00C6083E">
                    <w:rPr>
                      <w:rFonts w:ascii="Verdana" w:hAnsi="Verdana"/>
                      <w:sz w:val="16"/>
                      <w:szCs w:val="18"/>
                    </w:rPr>
                    <w:t xml:space="preserve">in national and international journals and Award of one Patent in Pipeline. He has </w:t>
                  </w:r>
                  <w:r w:rsidRPr="00C6083E">
                    <w:rPr>
                      <w:rFonts w:ascii="Verdana" w:hAnsi="Verdana"/>
                      <w:b/>
                      <w:sz w:val="16"/>
                      <w:szCs w:val="18"/>
                    </w:rPr>
                    <w:t xml:space="preserve">supervised 3 </w:t>
                  </w:r>
                  <w:r w:rsidRPr="00C6083E">
                    <w:rPr>
                      <w:rFonts w:ascii="Verdana" w:hAnsi="Verdana"/>
                      <w:sz w:val="16"/>
                      <w:szCs w:val="18"/>
                    </w:rPr>
                    <w:t xml:space="preserve">research scholars and is </w:t>
                  </w:r>
                  <w:r w:rsidRPr="00C6083E">
                    <w:rPr>
                      <w:rFonts w:ascii="Verdana" w:hAnsi="Verdana"/>
                      <w:b/>
                      <w:sz w:val="16"/>
                      <w:szCs w:val="18"/>
                    </w:rPr>
                    <w:t>supervising 3 scholars.</w:t>
                  </w:r>
                  <w:r w:rsidRPr="00C6083E">
                    <w:rPr>
                      <w:rFonts w:ascii="Verdana" w:hAnsi="Verdana"/>
                      <w:sz w:val="16"/>
                      <w:szCs w:val="18"/>
                    </w:rPr>
                    <w:t xml:space="preserve"> She a</w:t>
                  </w:r>
                  <w:r w:rsidRPr="00C6083E">
                    <w:rPr>
                      <w:rFonts w:ascii="Verdana" w:hAnsi="Verdana" w:cs="Arial"/>
                      <w:sz w:val="16"/>
                      <w:szCs w:val="18"/>
                    </w:rPr>
                    <w:t>uthored a book entitled “Unit operations in pharmaceutical Engineering” and “Pharma for B. Tech”. Contributed a chapter “Pharmacognosy and Phytotherapy research” in “Environmental biotechnology and Plant metabolomics”. She has authored a chapter entitled “lipid based nanoparticles for cancer diagnosis and therapy in Organic materials as smart nanocarriers for drug delivery (Elsevier).</w:t>
                  </w:r>
                </w:p>
                <w:p w:rsidR="00262159" w:rsidRDefault="00262159" w:rsidP="00262159"/>
              </w:txbxContent>
            </v:textbox>
          </v:shape>
        </w:pict>
      </w:r>
    </w:p>
    <w:p w:rsidR="00AE3E37" w:rsidRDefault="00477301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262159" w:rsidRDefault="008756E6" w:rsidP="00262159">
      <w:pPr>
        <w:spacing w:before="92"/>
        <w:ind w:right="4234"/>
        <w:rPr>
          <w:rFonts w:ascii="Arial" w:hAnsi="Arial" w:cs="Arial"/>
          <w:sz w:val="14"/>
        </w:rPr>
      </w:pPr>
      <w:r>
        <w:rPr>
          <w:noProof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159" w:rsidRDefault="00262159" w:rsidP="00262159">
      <w:pPr>
        <w:spacing w:before="92"/>
        <w:ind w:right="4234"/>
        <w:rPr>
          <w:rFonts w:ascii="Arial" w:hAnsi="Arial" w:cs="Arial"/>
          <w:sz w:val="14"/>
        </w:rPr>
      </w:pPr>
    </w:p>
    <w:p w:rsidR="00262159" w:rsidRDefault="00262159" w:rsidP="00262159">
      <w:pPr>
        <w:spacing w:before="92"/>
        <w:ind w:right="4234"/>
        <w:rPr>
          <w:rFonts w:ascii="Arial" w:hAnsi="Arial" w:cs="Arial"/>
          <w:sz w:val="14"/>
        </w:rPr>
      </w:pPr>
    </w:p>
    <w:p w:rsidR="00262159" w:rsidRDefault="00262159" w:rsidP="00262159">
      <w:pPr>
        <w:spacing w:before="92"/>
        <w:ind w:right="4234"/>
        <w:rPr>
          <w:rFonts w:ascii="Arial" w:hAnsi="Arial" w:cs="Arial"/>
          <w:sz w:val="14"/>
        </w:rPr>
      </w:pPr>
    </w:p>
    <w:p w:rsidR="00726617" w:rsidRDefault="00726617" w:rsidP="00262159">
      <w:pPr>
        <w:tabs>
          <w:tab w:val="left" w:pos="6660"/>
        </w:tabs>
        <w:spacing w:before="62"/>
        <w:ind w:left="1080" w:right="1960"/>
        <w:jc w:val="both"/>
        <w:rPr>
          <w:rFonts w:ascii="Arial" w:hAnsi="Arial" w:cs="Arial"/>
          <w:sz w:val="14"/>
        </w:rPr>
      </w:pPr>
    </w:p>
    <w:p w:rsidR="00726617" w:rsidRDefault="00726617" w:rsidP="00262159">
      <w:pPr>
        <w:tabs>
          <w:tab w:val="left" w:pos="6660"/>
        </w:tabs>
        <w:spacing w:before="62"/>
        <w:ind w:left="1080" w:right="1960"/>
        <w:jc w:val="both"/>
        <w:rPr>
          <w:rFonts w:ascii="Arial" w:hAnsi="Arial" w:cs="Arial"/>
          <w:sz w:val="14"/>
        </w:rPr>
      </w:pPr>
    </w:p>
    <w:p w:rsidR="00726617" w:rsidRDefault="00726617" w:rsidP="00262159">
      <w:pPr>
        <w:tabs>
          <w:tab w:val="left" w:pos="6660"/>
        </w:tabs>
        <w:spacing w:before="62"/>
        <w:ind w:left="1080" w:right="1960"/>
        <w:jc w:val="both"/>
        <w:rPr>
          <w:rFonts w:ascii="Arial" w:hAnsi="Arial" w:cs="Arial"/>
          <w:sz w:val="14"/>
        </w:rPr>
      </w:pPr>
    </w:p>
    <w:p w:rsidR="00262159" w:rsidRDefault="00262159" w:rsidP="00262159">
      <w:pPr>
        <w:tabs>
          <w:tab w:val="left" w:pos="6660"/>
        </w:tabs>
        <w:spacing w:before="62"/>
        <w:ind w:left="1080" w:right="1960"/>
        <w:jc w:val="both"/>
        <w:rPr>
          <w:rFonts w:ascii="Arial" w:hAnsi="Arial" w:cs="Arial"/>
          <w:sz w:val="14"/>
        </w:rPr>
      </w:pPr>
      <w:r w:rsidRPr="00724C6E">
        <w:rPr>
          <w:rFonts w:ascii="Arial" w:hAnsi="Arial" w:cs="Arial"/>
          <w:sz w:val="14"/>
        </w:rPr>
        <w:t>Full Name</w:t>
      </w:r>
      <w:r>
        <w:rPr>
          <w:rFonts w:ascii="Arial" w:hAnsi="Arial" w:cs="Arial"/>
          <w:sz w:val="14"/>
        </w:rPr>
        <w:t>: Dr. S. Mohanalakshmi</w:t>
      </w:r>
    </w:p>
    <w:p w:rsidR="00262159" w:rsidRDefault="00262159" w:rsidP="00262159">
      <w:pPr>
        <w:tabs>
          <w:tab w:val="left" w:pos="6660"/>
        </w:tabs>
        <w:spacing w:before="62"/>
        <w:ind w:left="1080" w:right="1960"/>
        <w:jc w:val="both"/>
        <w:rPr>
          <w:rFonts w:ascii="Arial" w:hAnsi="Arial" w:cs="Arial"/>
          <w:sz w:val="14"/>
        </w:rPr>
      </w:pPr>
      <w:r w:rsidRPr="00724C6E">
        <w:rPr>
          <w:rFonts w:ascii="Arial" w:hAnsi="Arial" w:cs="Arial"/>
          <w:sz w:val="14"/>
        </w:rPr>
        <w:t>Tel:</w:t>
      </w:r>
      <w:r>
        <w:rPr>
          <w:rFonts w:ascii="Arial" w:hAnsi="Arial" w:cs="Arial"/>
          <w:sz w:val="14"/>
        </w:rPr>
        <w:t xml:space="preserve"> 91 – 9160999967</w:t>
      </w:r>
    </w:p>
    <w:p w:rsidR="00262159" w:rsidRDefault="00262159" w:rsidP="00262159">
      <w:pPr>
        <w:tabs>
          <w:tab w:val="left" w:pos="6660"/>
        </w:tabs>
        <w:spacing w:before="62"/>
        <w:ind w:left="1080" w:right="1960"/>
        <w:jc w:val="both"/>
        <w:rPr>
          <w:rFonts w:ascii="Arial"/>
          <w:sz w:val="14"/>
        </w:rPr>
      </w:pPr>
      <w:r w:rsidRPr="00724C6E">
        <w:rPr>
          <w:rFonts w:ascii="Arial"/>
          <w:sz w:val="14"/>
        </w:rPr>
        <w:t xml:space="preserve">Session </w:t>
      </w:r>
      <w:r>
        <w:rPr>
          <w:rFonts w:ascii="Arial"/>
          <w:sz w:val="14"/>
        </w:rPr>
        <w:t>N</w:t>
      </w:r>
      <w:r w:rsidRPr="00724C6E">
        <w:rPr>
          <w:rFonts w:ascii="Arial"/>
          <w:sz w:val="14"/>
        </w:rPr>
        <w:t>ame</w:t>
      </w:r>
      <w:r>
        <w:rPr>
          <w:rFonts w:ascii="Arial"/>
          <w:sz w:val="14"/>
        </w:rPr>
        <w:t>/Number</w:t>
      </w:r>
    </w:p>
    <w:p w:rsidR="00262159" w:rsidRDefault="00262159" w:rsidP="00262159">
      <w:pPr>
        <w:tabs>
          <w:tab w:val="left" w:pos="6660"/>
        </w:tabs>
        <w:spacing w:before="62"/>
        <w:ind w:left="1080" w:right="1960"/>
        <w:jc w:val="both"/>
        <w:rPr>
          <w:rFonts w:ascii="Arial"/>
          <w:sz w:val="14"/>
        </w:rPr>
      </w:pPr>
      <w:r w:rsidRPr="00724C6E">
        <w:rPr>
          <w:rFonts w:ascii="Arial"/>
          <w:sz w:val="14"/>
        </w:rPr>
        <w:t>Category</w:t>
      </w:r>
      <w:r>
        <w:rPr>
          <w:rFonts w:ascii="Arial"/>
          <w:sz w:val="14"/>
        </w:rPr>
        <w:t>: Oral Presentation</w:t>
      </w:r>
    </w:p>
    <w:p w:rsidR="00262159" w:rsidRDefault="00262159" w:rsidP="00262159">
      <w:pPr>
        <w:tabs>
          <w:tab w:val="left" w:pos="6660"/>
        </w:tabs>
        <w:spacing w:before="62"/>
        <w:ind w:left="1080" w:right="1960"/>
        <w:jc w:val="both"/>
        <w:rPr>
          <w:rFonts w:ascii="Arial"/>
          <w:sz w:val="14"/>
        </w:rPr>
      </w:pPr>
      <w:r>
        <w:rPr>
          <w:rFonts w:ascii="Arial"/>
          <w:sz w:val="14"/>
        </w:rPr>
        <w:t>Email: mohana_cog@yahoo.co.in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0FF1" w:rsidRDefault="00010FF1">
      <w:r>
        <w:separator/>
      </w:r>
    </w:p>
  </w:endnote>
  <w:endnote w:type="continuationSeparator" w:id="1">
    <w:p w:rsidR="00010FF1" w:rsidRDefault="00010F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dvOT863180f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b92eb7df.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horndaleAMT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QdcjvxAdvTTb8864ccf.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wrrkhAdvP000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QtnpmsAdvTTec61d777.B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kwrscAdvTT3713a23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QlpcdxAdvTT3713a231+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5843c57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S44A44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b8864ccf.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3713a23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000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ec61d777.B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3713a231+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Std-Disp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Std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77301">
    <w:pPr>
      <w:pStyle w:val="BodyText"/>
      <w:spacing w:line="14" w:lineRule="auto"/>
      <w:rPr>
        <w:sz w:val="20"/>
      </w:rPr>
    </w:pPr>
    <w:r w:rsidRPr="0047730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477301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477301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0FF1" w:rsidRDefault="00010FF1">
      <w:r>
        <w:separator/>
      </w:r>
    </w:p>
  </w:footnote>
  <w:footnote w:type="continuationSeparator" w:id="1">
    <w:p w:rsidR="00010FF1" w:rsidRDefault="00010F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77301">
    <w:pPr>
      <w:pStyle w:val="BodyText"/>
      <w:spacing w:line="14" w:lineRule="auto"/>
      <w:rPr>
        <w:sz w:val="20"/>
      </w:rPr>
    </w:pPr>
    <w:r w:rsidRPr="0047730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477301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10FF1"/>
    <w:rsid w:val="000E2911"/>
    <w:rsid w:val="001263DF"/>
    <w:rsid w:val="00262159"/>
    <w:rsid w:val="00292ED9"/>
    <w:rsid w:val="00404E5B"/>
    <w:rsid w:val="00414F7B"/>
    <w:rsid w:val="004247D3"/>
    <w:rsid w:val="004355DC"/>
    <w:rsid w:val="004749B4"/>
    <w:rsid w:val="00477301"/>
    <w:rsid w:val="00494130"/>
    <w:rsid w:val="004F3523"/>
    <w:rsid w:val="005973B9"/>
    <w:rsid w:val="005B3A56"/>
    <w:rsid w:val="006060CE"/>
    <w:rsid w:val="0063497F"/>
    <w:rsid w:val="00724C6E"/>
    <w:rsid w:val="00726617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307F1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qFormat/>
    <w:rsid w:val="00262159"/>
    <w:pPr>
      <w:widowControl/>
      <w:spacing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262159"/>
    <w:pPr>
      <w:widowControl/>
      <w:autoSpaceDE w:val="0"/>
      <w:autoSpaceDN w:val="0"/>
      <w:adjustRightInd w:val="0"/>
    </w:pPr>
    <w:rPr>
      <w:rFonts w:ascii="Bernard MT Condensed" w:hAnsi="Bernard MT Condensed" w:cs="Bernard MT Condensed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4</cp:revision>
  <dcterms:created xsi:type="dcterms:W3CDTF">2016-12-15T06:48:00Z</dcterms:created>
  <dcterms:modified xsi:type="dcterms:W3CDTF">2017-07-17T10:07:00Z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