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1A10D4" w:rsidP="00F8409A">
      <w:pPr>
        <w:pStyle w:val="Heading1"/>
        <w:spacing w:before="170"/>
        <w:ind w:left="0"/>
        <w:jc w:val="both"/>
      </w:pPr>
      <w:bookmarkStart w:id="0" w:name="_GoBack"/>
      <w:bookmarkEnd w:id="0"/>
      <w:r>
        <w:rPr>
          <w:color w:val="337AB7"/>
        </w:rPr>
        <w:t xml:space="preserve">Ameliorative Potential and molecular modulation of various fractions </w:t>
      </w:r>
      <w:r w:rsidRPr="00796526">
        <w:rPr>
          <w:i/>
          <w:color w:val="337AB7"/>
        </w:rPr>
        <w:t>Girardinia heterophylla</w:t>
      </w:r>
      <w:r>
        <w:rPr>
          <w:color w:val="337AB7"/>
        </w:rPr>
        <w:t xml:space="preserve"> roots on lipid profile and oxidative stress in high fat diet and Streptozotocin Induced Diabetes.  </w:t>
      </w:r>
      <w:r w:rsidRPr="00893B74">
        <w:rPr>
          <w:color w:val="141314"/>
          <w:sz w:val="28"/>
          <w:szCs w:val="28"/>
        </w:rPr>
        <w:t xml:space="preserve"> </w:t>
      </w:r>
      <w:r>
        <w:rPr>
          <w:color w:val="141314"/>
          <w:sz w:val="28"/>
          <w:szCs w:val="28"/>
        </w:rPr>
        <w:t xml:space="preserve"> </w:t>
      </w:r>
    </w:p>
    <w:p w:rsidR="00F8409A" w:rsidRDefault="00F8409A" w:rsidP="00F8409A">
      <w:pPr>
        <w:pStyle w:val="BodyText"/>
        <w:spacing w:line="276" w:lineRule="auto"/>
        <w:ind w:left="101" w:right="5990"/>
        <w:rPr>
          <w:rFonts w:ascii="Arial"/>
        </w:rPr>
      </w:pPr>
    </w:p>
    <w:p w:rsidR="00F8409A" w:rsidRDefault="00F8409A" w:rsidP="00F8409A">
      <w:pPr>
        <w:pStyle w:val="BodyText"/>
        <w:spacing w:line="276" w:lineRule="auto"/>
        <w:ind w:left="101" w:right="5990"/>
        <w:rPr>
          <w:rFonts w:ascii="Arial"/>
        </w:rPr>
      </w:pPr>
      <w:r>
        <w:rPr>
          <w:rFonts w:ascii="Arial"/>
        </w:rPr>
        <w:t xml:space="preserve">Dr. </w:t>
      </w:r>
      <w:r w:rsidR="001A10D4">
        <w:rPr>
          <w:rFonts w:ascii="Arial"/>
        </w:rPr>
        <w:t>S Mohanalakshmi, M. Pharm,</w:t>
      </w:r>
      <w:r w:rsidR="005973B9">
        <w:rPr>
          <w:rFonts w:ascii="Arial"/>
        </w:rPr>
        <w:t xml:space="preserve"> PhD, </w:t>
      </w:r>
      <w:r>
        <w:rPr>
          <w:rFonts w:ascii="Arial"/>
        </w:rPr>
        <w:t>Professor, Sree Vidyanikethan college of Pharmacy, Tirupati, A. P. India.</w:t>
      </w:r>
    </w:p>
    <w:p w:rsidR="00F8409A" w:rsidRDefault="00F8409A" w:rsidP="00F8409A">
      <w:pPr>
        <w:pStyle w:val="BodyText"/>
        <w:spacing w:line="276" w:lineRule="auto"/>
        <w:ind w:left="101" w:right="5990"/>
        <w:rPr>
          <w:rFonts w:ascii="Arial"/>
        </w:rPr>
      </w:pPr>
      <w:r>
        <w:rPr>
          <w:rFonts w:ascii="Arial"/>
        </w:rPr>
        <w:t xml:space="preserve">Dr. C. K. Ashok Kumar, M. Pharm, PhD, Professor. </w:t>
      </w:r>
    </w:p>
    <w:p w:rsidR="005973B9" w:rsidRDefault="00F8409A" w:rsidP="00F8409A">
      <w:pPr>
        <w:pStyle w:val="BodyText"/>
        <w:spacing w:line="276" w:lineRule="auto"/>
        <w:ind w:left="101" w:right="5990"/>
        <w:rPr>
          <w:rFonts w:ascii="Arial"/>
        </w:rPr>
      </w:pPr>
      <w:r>
        <w:rPr>
          <w:rFonts w:ascii="Arial"/>
        </w:rPr>
        <w:t>Dr. R. Jayaraman, M. Pharm, PhD, Professor.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F8409A">
      <w:pPr>
        <w:pStyle w:val="BodyText"/>
        <w:spacing w:before="90" w:line="280" w:lineRule="auto"/>
        <w:ind w:left="100"/>
        <w:jc w:val="both"/>
      </w:pPr>
      <w:r w:rsidRPr="00F8409A">
        <w:rPr>
          <w:rFonts w:ascii="Times New Roman" w:hAnsi="Times New Roman" w:cs="Times New Roman"/>
        </w:rPr>
        <w:t>The present study was aimed to investigate the possible ameliorative potential and molecular modulation of various fractions of Girardinia heterophylla (Gh) roots at the doses level of (200 mg/kg b.w.p.o) on lipid profile and oxidative stress in high Fat Diet and Streptozotocin Induced diabetes in rats. Male Wistar rats were divided into six groups, consisting of six animals' each.The effect of fractions of Gh on blood glucose, serum lipid profile like total cholesterol (TC), triglyceride (TG) and, serum markers such as ALP, AST, ALT and estimation of antioxidant parameters like Superoxide dismutase (SOD), Catalase (CAT) were measured in all experimental groups. Body weight and liver glycogen levels were also additionally evaluated. Supplementation of fractions of Girardinia heterophylla by gavage elicited significant antihyperglycemic and hypolipidemic effects (p&lt;0.05). The fractions were also found to be significantly effective (p&lt;0.05) on recovery of altered biochemical parameters like ALP, AST, ALT and decreased body weight in treated animals. Moreover this supplementation significantly improved the antioxidant status (p&lt;0.05) and increases the glycogen level in liver (9.65± 0.17) as compared to diabetic control (5.42±0.17).Moreover, Histopathological studies of pancreas and liver in diabetic and treated groups substantiate the cyto protective action of Girardinia heterophylla. In conclusion, ethanol fractions of Girardinia heterophylla offers promising antidiabetic and anti hyperlipedemic and antioxidant potential that may be mainly attributed to its potent antioxidant</w:t>
      </w:r>
      <w:r>
        <w:rPr>
          <w:rFonts w:ascii="Times New Roman" w:hAnsi="Times New Roman" w:cs="Times New Roman"/>
          <w:sz w:val="24"/>
          <w:szCs w:val="24"/>
        </w:rPr>
        <w:t xml:space="preserve"> </w:t>
      </w:r>
      <w:r w:rsidRPr="00F8409A">
        <w:rPr>
          <w:rFonts w:ascii="Times New Roman" w:hAnsi="Times New Roman" w:cs="Times New Roman"/>
        </w:rPr>
        <w:t>properties</w:t>
      </w:r>
      <w:r w:rsidR="00A9710C" w:rsidRPr="00F8409A">
        <w:t>.</w:t>
      </w:r>
    </w:p>
    <w:p w:rsidR="005973B9" w:rsidRDefault="00A9710C" w:rsidP="00F8409A">
      <w:pPr>
        <w:pStyle w:val="Heading3"/>
        <w:spacing w:before="74"/>
        <w:rPr>
          <w:b w:val="0"/>
          <w:color w:val="BF5A14"/>
        </w:rPr>
      </w:pPr>
      <w:r>
        <w:rPr>
          <w:b w:val="0"/>
        </w:rPr>
        <w:br w:type="column"/>
      </w:r>
      <w:r w:rsidR="00F8409A">
        <w:rPr>
          <w:b w:val="0"/>
        </w:rPr>
        <w:lastRenderedPageBreak/>
        <w:t xml:space="preserve">     </w:t>
      </w:r>
      <w:r w:rsidR="005973B9">
        <w:rPr>
          <w:color w:val="BF5A14"/>
        </w:rPr>
        <w:t>Recent Publications (minimum 5)</w:t>
      </w:r>
    </w:p>
    <w:p w:rsidR="00F8409A" w:rsidRDefault="00F8409A" w:rsidP="005973B9">
      <w:pPr>
        <w:spacing w:line="204" w:lineRule="exact"/>
        <w:rPr>
          <w:rFonts w:ascii="Arial"/>
          <w:b/>
          <w:sz w:val="20"/>
        </w:rPr>
      </w:pPr>
    </w:p>
    <w:p w:rsidR="00F8409A" w:rsidRDefault="00F8409A" w:rsidP="00F8409A">
      <w:pPr>
        <w:pStyle w:val="ListParagraph"/>
        <w:widowControl/>
        <w:numPr>
          <w:ilvl w:val="0"/>
          <w:numId w:val="4"/>
        </w:numPr>
        <w:tabs>
          <w:tab w:val="left" w:pos="851"/>
        </w:tabs>
        <w:spacing w:before="0" w:line="276" w:lineRule="auto"/>
        <w:contextualSpacing/>
        <w:rPr>
          <w:sz w:val="18"/>
          <w:szCs w:val="18"/>
        </w:rPr>
      </w:pPr>
      <w:r w:rsidRPr="001E0CCC">
        <w:rPr>
          <w:sz w:val="18"/>
          <w:szCs w:val="18"/>
          <w:lang w:val="es-ES_tradnl"/>
        </w:rPr>
        <w:t xml:space="preserve">Sheyl  LM, Heberth D,  Paula M, Rinaldo D, Eduardo LO, and Marcelo (2005) </w:t>
      </w:r>
      <w:r w:rsidRPr="001E0CCC">
        <w:rPr>
          <w:sz w:val="18"/>
          <w:szCs w:val="18"/>
        </w:rPr>
        <w:t>Dietary models for inducing hypercholesterolemia in rats. Braz Arch Biol Technol.48(2):150-159.</w:t>
      </w:r>
    </w:p>
    <w:p w:rsidR="00F8409A" w:rsidRPr="00F8409A" w:rsidRDefault="00F8409A" w:rsidP="00F8409A">
      <w:pPr>
        <w:pStyle w:val="ListParagraph"/>
        <w:widowControl/>
        <w:tabs>
          <w:tab w:val="left" w:pos="851"/>
        </w:tabs>
        <w:spacing w:before="0" w:line="276" w:lineRule="auto"/>
        <w:ind w:left="720" w:firstLine="0"/>
        <w:contextualSpacing/>
        <w:rPr>
          <w:sz w:val="12"/>
          <w:szCs w:val="18"/>
        </w:rPr>
      </w:pPr>
    </w:p>
    <w:p w:rsidR="00F8409A" w:rsidRPr="00F8409A" w:rsidRDefault="00F8409A" w:rsidP="00F8409A">
      <w:pPr>
        <w:pStyle w:val="ListParagraph"/>
        <w:widowControl/>
        <w:numPr>
          <w:ilvl w:val="0"/>
          <w:numId w:val="4"/>
        </w:numPr>
        <w:tabs>
          <w:tab w:val="left" w:pos="851"/>
        </w:tabs>
        <w:spacing w:before="0" w:line="276" w:lineRule="auto"/>
        <w:contextualSpacing/>
        <w:rPr>
          <w:sz w:val="18"/>
          <w:szCs w:val="18"/>
        </w:rPr>
      </w:pPr>
      <w:r w:rsidRPr="001E0CCC">
        <w:rPr>
          <w:bCs/>
          <w:sz w:val="18"/>
          <w:szCs w:val="18"/>
        </w:rPr>
        <w:t>Soon JK, Song HB, Sangku L, Hye JK, Mi KL, Yong B, Myung SC (2005) Anticholesterolemic effect of 3,4-di(OH)-phenyl propionicamides in high-</w:t>
      </w:r>
      <w:r w:rsidRPr="001E0CCC">
        <w:rPr>
          <w:bCs/>
          <w:sz w:val="18"/>
          <w:szCs w:val="18"/>
        </w:rPr>
        <w:tab/>
        <w:t>cholesterol fed rats. Toxicol and Applied Pharmacol.208:29-36.</w:t>
      </w:r>
    </w:p>
    <w:p w:rsidR="00F8409A" w:rsidRPr="00F8409A" w:rsidRDefault="00F8409A" w:rsidP="00F8409A">
      <w:pPr>
        <w:pStyle w:val="ListParagraph"/>
        <w:spacing w:before="0" w:line="276" w:lineRule="auto"/>
        <w:rPr>
          <w:sz w:val="8"/>
          <w:szCs w:val="18"/>
        </w:rPr>
      </w:pPr>
    </w:p>
    <w:p w:rsidR="00AE3E37" w:rsidRPr="00F8409A" w:rsidRDefault="00F8409A" w:rsidP="00F8409A">
      <w:pPr>
        <w:pStyle w:val="ListParagraph"/>
        <w:widowControl/>
        <w:numPr>
          <w:ilvl w:val="0"/>
          <w:numId w:val="4"/>
        </w:numPr>
        <w:tabs>
          <w:tab w:val="left" w:pos="851"/>
        </w:tabs>
        <w:spacing w:before="0" w:line="276" w:lineRule="auto"/>
        <w:contextualSpacing/>
        <w:rPr>
          <w:sz w:val="18"/>
          <w:szCs w:val="18"/>
        </w:rPr>
      </w:pPr>
      <w:r w:rsidRPr="001E0CCC">
        <w:rPr>
          <w:rFonts w:eastAsia="ThorndaleAMT"/>
          <w:sz w:val="18"/>
          <w:szCs w:val="18"/>
          <w:lang w:val="en-IN" w:eastAsia="en-IN"/>
        </w:rPr>
        <w:t xml:space="preserve">Pavana P, Sethupathy S and Manoharan S. </w:t>
      </w:r>
      <w:r w:rsidRPr="00F8409A">
        <w:rPr>
          <w:rFonts w:eastAsia="ThorndaleAMT"/>
          <w:sz w:val="18"/>
          <w:szCs w:val="18"/>
          <w:lang w:val="en-IN" w:eastAsia="en-IN"/>
        </w:rPr>
        <w:t xml:space="preserve">Antihyperglycemic and antilipidperoxidative effects of </w:t>
      </w:r>
      <w:r w:rsidRPr="00F8409A">
        <w:rPr>
          <w:rFonts w:eastAsia="ThorndaleAMT"/>
          <w:i/>
          <w:iCs/>
          <w:sz w:val="18"/>
          <w:szCs w:val="18"/>
          <w:lang w:val="en-IN" w:eastAsia="en-IN"/>
        </w:rPr>
        <w:t xml:space="preserve">Tephrosia purpurea </w:t>
      </w:r>
      <w:r w:rsidRPr="00F8409A">
        <w:rPr>
          <w:rFonts w:eastAsia="ThorndaleAMT"/>
          <w:sz w:val="18"/>
          <w:szCs w:val="18"/>
          <w:lang w:val="en-IN" w:eastAsia="en-IN"/>
        </w:rPr>
        <w:t>seed extract in streptozotocin induced diabetic rats</w:t>
      </w:r>
      <w:r w:rsidRPr="001E0CCC">
        <w:rPr>
          <w:rFonts w:eastAsia="ThorndaleAMT"/>
          <w:sz w:val="18"/>
          <w:szCs w:val="18"/>
          <w:lang w:val="en-IN" w:eastAsia="en-IN"/>
        </w:rPr>
        <w:t xml:space="preserve">. </w:t>
      </w:r>
      <w:r w:rsidRPr="001E0CCC">
        <w:rPr>
          <w:rFonts w:eastAsia="ThorndaleAMT"/>
          <w:i/>
          <w:iCs/>
          <w:sz w:val="18"/>
          <w:szCs w:val="18"/>
          <w:lang w:val="en-IN" w:eastAsia="en-IN"/>
        </w:rPr>
        <w:t>Indian Journal of Clinical Biochemistry</w:t>
      </w:r>
      <w:r w:rsidRPr="001E0CCC">
        <w:rPr>
          <w:rFonts w:eastAsia="ThorndaleAMT"/>
          <w:sz w:val="18"/>
          <w:szCs w:val="18"/>
          <w:lang w:val="en-IN" w:eastAsia="en-IN"/>
        </w:rPr>
        <w:t xml:space="preserve">, 2007; </w:t>
      </w:r>
      <w:r w:rsidRPr="001E0CCC">
        <w:rPr>
          <w:rFonts w:eastAsia="ThorndaleAMT-Bold"/>
          <w:bCs/>
          <w:sz w:val="18"/>
          <w:szCs w:val="18"/>
          <w:lang w:val="en-IN" w:eastAsia="en-IN"/>
        </w:rPr>
        <w:t>22:</w:t>
      </w:r>
      <w:r w:rsidRPr="001E0CCC">
        <w:rPr>
          <w:rFonts w:eastAsia="ThorndaleAMT"/>
          <w:sz w:val="18"/>
          <w:szCs w:val="18"/>
          <w:lang w:val="en-IN" w:eastAsia="en-IN"/>
        </w:rPr>
        <w:t xml:space="preserve"> 77-83</w:t>
      </w:r>
      <w:r>
        <w:rPr>
          <w:rFonts w:eastAsia="ThorndaleAMT"/>
          <w:sz w:val="18"/>
          <w:szCs w:val="18"/>
          <w:lang w:val="en-IN" w:eastAsia="en-IN"/>
        </w:rPr>
        <w:t>.</w:t>
      </w:r>
    </w:p>
    <w:p w:rsidR="00F8409A" w:rsidRPr="00F8409A" w:rsidRDefault="00F8409A" w:rsidP="00F8409A">
      <w:pPr>
        <w:widowControl/>
        <w:tabs>
          <w:tab w:val="left" w:pos="851"/>
        </w:tabs>
        <w:spacing w:line="276" w:lineRule="auto"/>
        <w:contextualSpacing/>
        <w:rPr>
          <w:sz w:val="12"/>
          <w:szCs w:val="18"/>
        </w:rPr>
      </w:pPr>
    </w:p>
    <w:p w:rsidR="00F8409A" w:rsidRPr="001E0CCC" w:rsidRDefault="00F8409A" w:rsidP="00F8409A">
      <w:pPr>
        <w:pStyle w:val="ListParagraph"/>
        <w:widowControl/>
        <w:numPr>
          <w:ilvl w:val="0"/>
          <w:numId w:val="4"/>
        </w:numPr>
        <w:tabs>
          <w:tab w:val="left" w:pos="851"/>
        </w:tabs>
        <w:spacing w:before="0" w:line="240" w:lineRule="auto"/>
        <w:contextualSpacing/>
        <w:rPr>
          <w:sz w:val="18"/>
          <w:szCs w:val="18"/>
        </w:rPr>
      </w:pPr>
      <w:r w:rsidRPr="001E0CCC">
        <w:rPr>
          <w:rFonts w:eastAsia="ThorndaleAMT"/>
          <w:sz w:val="18"/>
          <w:szCs w:val="18"/>
          <w:lang w:val="en-IN"/>
        </w:rPr>
        <w:t xml:space="preserve">Torrico F, Cepeda M, Guerrero G, Melendez F, Blanco Z, Canelon DJ, Diaz B, Compagnone RS and Suarez AI. </w:t>
      </w:r>
      <w:r w:rsidRPr="00F8409A">
        <w:rPr>
          <w:rFonts w:eastAsia="ThorndaleAMT"/>
          <w:sz w:val="18"/>
          <w:szCs w:val="18"/>
          <w:lang w:val="en-IN"/>
        </w:rPr>
        <w:t xml:space="preserve">Hypoglycemic effect of </w:t>
      </w:r>
      <w:r w:rsidRPr="00F8409A">
        <w:rPr>
          <w:rFonts w:eastAsia="ThorndaleAMT"/>
          <w:i/>
          <w:iCs/>
          <w:sz w:val="18"/>
          <w:szCs w:val="18"/>
          <w:lang w:val="en-IN"/>
        </w:rPr>
        <w:t xml:space="preserve">Croton cuneatus </w:t>
      </w:r>
      <w:r w:rsidRPr="00F8409A">
        <w:rPr>
          <w:rFonts w:eastAsia="ThorndaleAMT"/>
          <w:sz w:val="18"/>
          <w:szCs w:val="18"/>
          <w:lang w:val="en-IN"/>
        </w:rPr>
        <w:t>in streptozotocin-induced diabetic rats.</w:t>
      </w:r>
      <w:r w:rsidRPr="001E0CCC">
        <w:rPr>
          <w:rFonts w:eastAsia="ThorndaleAMT"/>
          <w:sz w:val="18"/>
          <w:szCs w:val="18"/>
          <w:lang w:val="en-IN"/>
        </w:rPr>
        <w:t xml:space="preserve"> </w:t>
      </w:r>
      <w:r w:rsidRPr="001E0CCC">
        <w:rPr>
          <w:rFonts w:eastAsia="ThorndaleAMT"/>
          <w:i/>
          <w:iCs/>
          <w:sz w:val="18"/>
          <w:szCs w:val="18"/>
          <w:lang w:val="en-IN"/>
        </w:rPr>
        <w:t>Brazilian Journal of Pharmacognosy</w:t>
      </w:r>
      <w:r w:rsidRPr="001E0CCC">
        <w:rPr>
          <w:rFonts w:eastAsia="ThorndaleAMT"/>
          <w:sz w:val="18"/>
          <w:szCs w:val="18"/>
          <w:lang w:val="en-IN"/>
        </w:rPr>
        <w:t xml:space="preserve"> 2007, </w:t>
      </w:r>
      <w:r w:rsidRPr="001E0CCC">
        <w:rPr>
          <w:rFonts w:eastAsia="ThorndaleAMT-Bold"/>
          <w:b/>
          <w:bCs/>
          <w:sz w:val="18"/>
          <w:szCs w:val="18"/>
          <w:lang w:val="en-IN"/>
        </w:rPr>
        <w:t>17</w:t>
      </w:r>
      <w:r w:rsidRPr="001E0CCC">
        <w:rPr>
          <w:rFonts w:eastAsia="ThorndaleAMT"/>
          <w:b/>
          <w:sz w:val="18"/>
          <w:szCs w:val="18"/>
          <w:lang w:val="en-IN"/>
        </w:rPr>
        <w:t>:</w:t>
      </w:r>
      <w:r w:rsidRPr="001E0CCC">
        <w:rPr>
          <w:rFonts w:eastAsia="ThorndaleAMT"/>
          <w:sz w:val="18"/>
          <w:szCs w:val="18"/>
          <w:lang w:val="en-IN"/>
        </w:rPr>
        <w:t>166-169.</w:t>
      </w:r>
    </w:p>
    <w:p w:rsidR="00F8409A" w:rsidRDefault="00F8409A" w:rsidP="00F8409A">
      <w:pPr>
        <w:widowControl/>
        <w:tabs>
          <w:tab w:val="left" w:pos="851"/>
        </w:tabs>
        <w:spacing w:line="276" w:lineRule="auto"/>
        <w:contextualSpacing/>
        <w:rPr>
          <w:sz w:val="18"/>
          <w:szCs w:val="18"/>
        </w:rPr>
      </w:pPr>
    </w:p>
    <w:p w:rsidR="001432AA" w:rsidRPr="001432AA" w:rsidRDefault="001432AA" w:rsidP="001432AA">
      <w:pPr>
        <w:pStyle w:val="ListParagraph"/>
        <w:widowControl/>
        <w:numPr>
          <w:ilvl w:val="0"/>
          <w:numId w:val="4"/>
        </w:numPr>
        <w:tabs>
          <w:tab w:val="left" w:pos="851"/>
        </w:tabs>
        <w:spacing w:line="276" w:lineRule="auto"/>
        <w:contextualSpacing/>
        <w:rPr>
          <w:sz w:val="18"/>
          <w:szCs w:val="18"/>
        </w:rPr>
        <w:sectPr w:rsidR="001432AA" w:rsidRPr="001432AA">
          <w:type w:val="continuous"/>
          <w:pgSz w:w="11910" w:h="16840"/>
          <w:pgMar w:top="1740" w:right="600" w:bottom="840" w:left="620" w:header="720" w:footer="720" w:gutter="0"/>
          <w:cols w:num="2" w:space="720" w:equalWidth="0">
            <w:col w:w="5214" w:space="138"/>
            <w:col w:w="5338"/>
          </w:cols>
        </w:sectPr>
      </w:pPr>
      <w:r w:rsidRPr="001432AA">
        <w:rPr>
          <w:sz w:val="18"/>
          <w:szCs w:val="18"/>
        </w:rPr>
        <w:t xml:space="preserve">Balamurugan, R., Duraipandiyan, V. and Ignacimuthu, S. Antidiabetic activity of γ-sitosterol isolated from </w:t>
      </w:r>
      <w:r w:rsidRPr="001432AA">
        <w:rPr>
          <w:i/>
          <w:sz w:val="18"/>
          <w:szCs w:val="18"/>
        </w:rPr>
        <w:t>Lippia nodiflora</w:t>
      </w:r>
      <w:r w:rsidRPr="001432AA">
        <w:rPr>
          <w:sz w:val="18"/>
          <w:szCs w:val="18"/>
        </w:rPr>
        <w:t xml:space="preserve"> L. in streptozotocin induced diabetic rats. </w:t>
      </w:r>
      <w:r w:rsidRPr="001432AA">
        <w:rPr>
          <w:i/>
          <w:sz w:val="18"/>
          <w:szCs w:val="18"/>
        </w:rPr>
        <w:t>European J. of Pharmacol</w:t>
      </w:r>
      <w:r w:rsidRPr="001432AA">
        <w:rPr>
          <w:sz w:val="18"/>
          <w:szCs w:val="18"/>
        </w:rPr>
        <w:t xml:space="preserve"> 2011, 667: 410</w:t>
      </w:r>
    </w:p>
    <w:p w:rsidR="00AE3E37" w:rsidRDefault="00AE3E37">
      <w:pPr>
        <w:pStyle w:val="BodyText"/>
        <w:rPr>
          <w:rFonts w:ascii="Calibri"/>
          <w:sz w:val="20"/>
        </w:rPr>
      </w:pPr>
    </w:p>
    <w:p w:rsidR="00AE3E37" w:rsidRDefault="00734A49">
      <w:pPr>
        <w:pStyle w:val="BodyText"/>
        <w:spacing w:line="40" w:lineRule="exact"/>
        <w:ind w:left="2202"/>
        <w:rPr>
          <w:rFonts w:ascii="Calibri"/>
          <w:sz w:val="4"/>
        </w:rPr>
      </w:pPr>
      <w:r w:rsidRPr="00734A49">
        <w:rPr>
          <w:rFonts w:ascii="Calibri"/>
          <w:noProof/>
          <w:sz w:val="4"/>
          <w:lang w:val="en-IN" w:eastAsia="en-IN"/>
        </w:rPr>
      </w:r>
      <w:r w:rsidRPr="00734A4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1448A6" w:rsidRDefault="001448A6" w:rsidP="00404E5B">
      <w:pPr>
        <w:spacing w:before="92"/>
        <w:ind w:right="4234"/>
        <w:rPr>
          <w:rFonts w:ascii="Arial"/>
          <w:color w:val="BF5A14"/>
        </w:rPr>
      </w:pPr>
      <w:r>
        <w:rPr>
          <w:noProof/>
        </w:rPr>
        <w:drawing>
          <wp:inline distT="0" distB="0" distL="0" distR="0">
            <wp:extent cx="930656" cy="899770"/>
            <wp:effectExtent l="19050" t="0" r="2794" b="0"/>
            <wp:docPr id="2" name="Picture 2" descr="mohana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hana photo"/>
                    <pic:cNvPicPr>
                      <a:picLocks noChangeAspect="1" noChangeArrowheads="1"/>
                    </pic:cNvPicPr>
                  </pic:nvPicPr>
                  <pic:blipFill>
                    <a:blip r:embed="rId9" cstate="print"/>
                    <a:srcRect/>
                    <a:stretch>
                      <a:fillRect/>
                    </a:stretch>
                  </pic:blipFill>
                  <pic:spPr bwMode="auto">
                    <a:xfrm>
                      <a:off x="0" y="0"/>
                      <a:ext cx="932001" cy="901070"/>
                    </a:xfrm>
                    <a:prstGeom prst="rect">
                      <a:avLst/>
                    </a:prstGeom>
                    <a:noFill/>
                    <a:ln w="9525">
                      <a:noFill/>
                      <a:miter lim="800000"/>
                      <a:headEnd/>
                      <a:tailEnd/>
                    </a:ln>
                  </pic:spPr>
                </pic:pic>
              </a:graphicData>
            </a:graphic>
          </wp:inline>
        </w:drawing>
      </w:r>
    </w:p>
    <w:p w:rsidR="00AE3E37" w:rsidRDefault="001448A6"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Pr="00796526" w:rsidRDefault="001448A6">
      <w:pPr>
        <w:spacing w:before="41" w:line="154" w:lineRule="exact"/>
        <w:ind w:left="213" w:right="231"/>
        <w:jc w:val="both"/>
        <w:rPr>
          <w:rFonts w:ascii="Arial" w:hAnsi="Arial" w:cs="Arial"/>
          <w:sz w:val="14"/>
          <w:szCs w:val="14"/>
        </w:rPr>
      </w:pPr>
      <w:r w:rsidRPr="00796526">
        <w:rPr>
          <w:rFonts w:ascii="Arial" w:hAnsi="Arial" w:cs="Arial"/>
          <w:b/>
          <w:sz w:val="14"/>
          <w:szCs w:val="14"/>
        </w:rPr>
        <w:t xml:space="preserve">Dr. S. Mohana Lakshmi, </w:t>
      </w:r>
      <w:r w:rsidRPr="00796526">
        <w:rPr>
          <w:rFonts w:ascii="Arial" w:hAnsi="Arial" w:cs="Arial"/>
          <w:sz w:val="14"/>
          <w:szCs w:val="14"/>
        </w:rPr>
        <w:t>working as Professor in Sree Vidyanikethan College of Pharmacy, Tirupati, A.P. She has completed her M. Pharmacy and Ph. D Jadavpur University, Kolkata, India. She has received “Career Award for Young Teachers” from AICTE, New Delhi. She successfully completed project worth of 24, 00, 000/ - funded by AICTE. She has visited countries like Turkey, Bangladesh, Singapore and Bangkok to present her research findings. She has published 30 research papers in national and international journals and Award of one Patent in Pipeline. He has supervised 3 research scholars and is supervising 3 scholars. She authored a book entitled “Unit operations in pharmaceutical Engineering” and “Pharma for B. Tech”. Contributed a chapter “Pharmacognosy and Phytotherapy research” in “Environmental biotechnology and Plant metabolomics”. She has authored a chapter entitled “lipid based nanoparticles for cancer diagnosis and therapy in Organic materials as smart nanocarriers for drug delivery (Elsevier)</w:t>
      </w:r>
      <w:r w:rsidR="00A9710C" w:rsidRPr="00796526">
        <w:rPr>
          <w:rFonts w:ascii="Arial" w:hAnsi="Arial" w:cs="Arial"/>
          <w:sz w:val="14"/>
          <w:szCs w:val="14"/>
        </w:rPr>
        <w:t>.</w:t>
      </w:r>
    </w:p>
    <w:p w:rsidR="00AE3E37" w:rsidRDefault="00A9710C">
      <w:pPr>
        <w:spacing w:before="62"/>
        <w:ind w:left="4217" w:right="4235"/>
        <w:jc w:val="center"/>
        <w:rPr>
          <w:rFonts w:ascii="Arial"/>
          <w:sz w:val="14"/>
        </w:rPr>
      </w:pPr>
      <w:r>
        <w:rPr>
          <w:rFonts w:ascii="Arial"/>
          <w:sz w:val="14"/>
        </w:rPr>
        <w:t xml:space="preserve">Email: </w:t>
      </w:r>
      <w:r w:rsidR="001448A6" w:rsidRPr="001448A6">
        <w:rPr>
          <w:rFonts w:ascii="Arial"/>
          <w:sz w:val="14"/>
        </w:rPr>
        <w:t>mohana_cog@yahoo.co.in</w:t>
      </w:r>
    </w:p>
    <w:p w:rsidR="005C3266" w:rsidRPr="00B21A57" w:rsidRDefault="00734A49" w:rsidP="005C3266">
      <w:pPr>
        <w:pStyle w:val="BodyText"/>
        <w:spacing w:before="2"/>
        <w:rPr>
          <w:rFonts w:ascii="Minion Pro"/>
          <w:b/>
          <w:sz w:val="20"/>
        </w:rPr>
      </w:pPr>
      <w:r w:rsidRPr="00734A49">
        <w:rPr>
          <w:noProof/>
          <w:lang w:val="en-IN" w:eastAsia="en-IN"/>
        </w:rPr>
        <w:pict>
          <v:line id="Line 3" o:spid="_x0000_s1028" style="position:absolute;z-index:1072;visibility:visible;mso-wrap-distance-left:0;mso-wrap-distance-right:0;mso-position-horizontal-relative:page" from="162.1pt,6.5pt" to="433.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5C3266" w:rsidRPr="00B21A57">
        <w:rPr>
          <w:rFonts w:ascii="Minion Pro"/>
          <w:b/>
          <w:sz w:val="20"/>
        </w:rPr>
        <w:t>Notes/Comments:</w:t>
      </w:r>
    </w:p>
    <w:p w:rsidR="005C3266" w:rsidRDefault="005C3266" w:rsidP="005C3266">
      <w:pPr>
        <w:rPr>
          <w:rFonts w:ascii="Minion Pro"/>
          <w:sz w:val="24"/>
        </w:rPr>
        <w:sectPr w:rsidR="005C3266">
          <w:type w:val="continuous"/>
          <w:pgSz w:w="11910" w:h="16840"/>
          <w:pgMar w:top="1740" w:right="600" w:bottom="840" w:left="620" w:header="720" w:footer="720" w:gutter="0"/>
          <w:cols w:space="720"/>
        </w:sectPr>
      </w:pPr>
    </w:p>
    <w:p w:rsidR="00AE3E37" w:rsidRPr="00796526" w:rsidRDefault="00796526" w:rsidP="00796526">
      <w:pPr>
        <w:pStyle w:val="BodyText"/>
        <w:jc w:val="both"/>
        <w:rPr>
          <w:rFonts w:ascii="Arial"/>
        </w:rPr>
      </w:pPr>
      <w:r w:rsidRPr="00796526">
        <w:rPr>
          <w:rFonts w:ascii="Arial"/>
        </w:rPr>
        <w:lastRenderedPageBreak/>
        <w:t xml:space="preserve">I have received travel support from government of India, and my spouse who is also professor working in the natural product research </w:t>
      </w:r>
      <w:r w:rsidR="00D416AF">
        <w:rPr>
          <w:rFonts w:ascii="Arial"/>
        </w:rPr>
        <w:t xml:space="preserve">and contributor for this research, </w:t>
      </w:r>
      <w:r w:rsidRPr="00796526">
        <w:rPr>
          <w:rFonts w:ascii="Arial"/>
        </w:rPr>
        <w:t>interest</w:t>
      </w:r>
      <w:r>
        <w:rPr>
          <w:rFonts w:ascii="Arial"/>
        </w:rPr>
        <w:t>ed to attend the conference</w:t>
      </w:r>
      <w:r w:rsidRPr="00796526">
        <w:rPr>
          <w:rFonts w:ascii="Arial"/>
        </w:rPr>
        <w:t xml:space="preserve">, I request you to kindly waive fully or partially the </w:t>
      </w:r>
      <w:r w:rsidRPr="00796526">
        <w:rPr>
          <w:rFonts w:ascii="Arial"/>
        </w:rPr>
        <w:lastRenderedPageBreak/>
        <w:t>registration charges for attending the conference.</w:t>
      </w:r>
      <w:r>
        <w:rPr>
          <w:rFonts w:ascii="Arial"/>
        </w:rPr>
        <w:t xml:space="preserve"> Thanking you.</w:t>
      </w:r>
      <w:r w:rsidRPr="00796526">
        <w:rPr>
          <w:rFonts w:ascii="Arial"/>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E93" w:rsidRDefault="00A17E93">
      <w:r>
        <w:separator/>
      </w:r>
    </w:p>
  </w:endnote>
  <w:endnote w:type="continuationSeparator" w:id="1">
    <w:p w:rsidR="00A17E93" w:rsidRDefault="00A17E9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horndaleAMT">
    <w:altName w:val="Arial Unicode MS"/>
    <w:panose1 w:val="00000000000000000000"/>
    <w:charset w:val="81"/>
    <w:family w:val="auto"/>
    <w:notTrueType/>
    <w:pitch w:val="default"/>
    <w:sig w:usb0="00000001" w:usb1="09060000" w:usb2="00000010" w:usb3="00000000" w:csb0="00080000" w:csb1="00000000"/>
  </w:font>
  <w:font w:name="ThorndaleAMT-Bold">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34A49">
    <w:pPr>
      <w:pStyle w:val="BodyText"/>
      <w:spacing w:line="14" w:lineRule="auto"/>
      <w:rPr>
        <w:sz w:val="20"/>
      </w:rPr>
    </w:pPr>
    <w:r w:rsidRPr="00734A4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34A4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34A4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E93" w:rsidRDefault="00A17E93">
      <w:r>
        <w:separator/>
      </w:r>
    </w:p>
  </w:footnote>
  <w:footnote w:type="continuationSeparator" w:id="1">
    <w:p w:rsidR="00A17E93" w:rsidRDefault="00A17E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34A49">
    <w:pPr>
      <w:pStyle w:val="BodyText"/>
      <w:spacing w:line="14" w:lineRule="auto"/>
      <w:rPr>
        <w:sz w:val="20"/>
      </w:rPr>
    </w:pPr>
    <w:r w:rsidRPr="00734A4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34A4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8E15E6B"/>
    <w:multiLevelType w:val="hybridMultilevel"/>
    <w:tmpl w:val="F15A9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432AA"/>
    <w:rsid w:val="001448A6"/>
    <w:rsid w:val="001A10D4"/>
    <w:rsid w:val="002455EC"/>
    <w:rsid w:val="00292ED9"/>
    <w:rsid w:val="00404E5B"/>
    <w:rsid w:val="00414F7B"/>
    <w:rsid w:val="004355DC"/>
    <w:rsid w:val="004749B4"/>
    <w:rsid w:val="00494130"/>
    <w:rsid w:val="004F3523"/>
    <w:rsid w:val="005973B9"/>
    <w:rsid w:val="005B3A56"/>
    <w:rsid w:val="005C3266"/>
    <w:rsid w:val="006060CE"/>
    <w:rsid w:val="0063497F"/>
    <w:rsid w:val="00734A49"/>
    <w:rsid w:val="00796526"/>
    <w:rsid w:val="00873DF0"/>
    <w:rsid w:val="008756E6"/>
    <w:rsid w:val="008A08B6"/>
    <w:rsid w:val="009B2D44"/>
    <w:rsid w:val="00A07E82"/>
    <w:rsid w:val="00A17E93"/>
    <w:rsid w:val="00A9710C"/>
    <w:rsid w:val="00AE3E37"/>
    <w:rsid w:val="00B21A57"/>
    <w:rsid w:val="00C33602"/>
    <w:rsid w:val="00CD6F55"/>
    <w:rsid w:val="00D416AF"/>
    <w:rsid w:val="00DE3104"/>
    <w:rsid w:val="00E26B10"/>
    <w:rsid w:val="00F72EEA"/>
    <w:rsid w:val="00F8409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11</cp:revision>
  <dcterms:created xsi:type="dcterms:W3CDTF">2016-12-06T11:19:00Z</dcterms:created>
  <dcterms:modified xsi:type="dcterms:W3CDTF">2017-06-23T08:52:00Z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