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0A0" w:rsidRPr="008040A0" w:rsidRDefault="008040A0" w:rsidP="008040A0">
      <w:pPr>
        <w:keepNext/>
        <w:keepLines/>
        <w:widowControl/>
        <w:spacing w:line="259" w:lineRule="auto"/>
        <w:outlineLvl w:val="0"/>
        <w:rPr>
          <w:rFonts w:ascii="Times New Roman" w:eastAsia="Calibri" w:hAnsi="Times New Roman" w:cs="Times New Roman"/>
          <w:b/>
          <w:i/>
          <w:color w:val="4F81BD" w:themeColor="accent1"/>
          <w:sz w:val="24"/>
          <w:szCs w:val="24"/>
        </w:rPr>
      </w:pPr>
      <w:r w:rsidRPr="008040A0">
        <w:rPr>
          <w:rFonts w:ascii="Times New Roman" w:eastAsia="Calibri" w:hAnsi="Times New Roman" w:cs="Times New Roman"/>
          <w:b/>
          <w:color w:val="4F81BD" w:themeColor="accent1"/>
          <w:sz w:val="28"/>
          <w:szCs w:val="28"/>
        </w:rPr>
        <w:t>In vitro Evaluation Antioxidant Properties of Aqueous Extracts from leave</w:t>
      </w:r>
      <w:r w:rsidRPr="008040A0">
        <w:rPr>
          <w:rFonts w:ascii="Times New Roman" w:eastAsia="Calibri" w:hAnsi="Times New Roman" w:cs="Times New Roman"/>
          <w:i/>
          <w:color w:val="4F81BD" w:themeColor="accent1"/>
          <w:sz w:val="28"/>
          <w:szCs w:val="28"/>
        </w:rPr>
        <w:t xml:space="preserve"> </w:t>
      </w:r>
      <w:r w:rsidRPr="008040A0">
        <w:rPr>
          <w:rFonts w:ascii="Times New Roman" w:eastAsia="Calibri" w:hAnsi="Times New Roman" w:cs="Times New Roman"/>
          <w:b/>
          <w:color w:val="4F81BD" w:themeColor="accent1"/>
          <w:sz w:val="28"/>
          <w:szCs w:val="28"/>
        </w:rPr>
        <w:t xml:space="preserve">of </w:t>
      </w:r>
      <w:proofErr w:type="spellStart"/>
      <w:r w:rsidRPr="008040A0">
        <w:rPr>
          <w:rFonts w:ascii="Times New Roman" w:eastAsia="Calibri" w:hAnsi="Times New Roman" w:cs="Times New Roman"/>
          <w:b/>
          <w:i/>
          <w:color w:val="4F81BD" w:themeColor="accent1"/>
          <w:sz w:val="28"/>
          <w:szCs w:val="28"/>
        </w:rPr>
        <w:t>Psidium</w:t>
      </w:r>
      <w:proofErr w:type="spellEnd"/>
      <w:r w:rsidRPr="008040A0">
        <w:rPr>
          <w:rFonts w:ascii="Times New Roman" w:eastAsia="Calibri" w:hAnsi="Times New Roman" w:cs="Times New Roman"/>
          <w:b/>
          <w:i/>
          <w:color w:val="4F81BD" w:themeColor="accent1"/>
          <w:sz w:val="28"/>
          <w:szCs w:val="28"/>
        </w:rPr>
        <w:t xml:space="preserve"> </w:t>
      </w:r>
      <w:proofErr w:type="spellStart"/>
      <w:r w:rsidRPr="008040A0">
        <w:rPr>
          <w:rFonts w:ascii="Times New Roman" w:eastAsia="Calibri" w:hAnsi="Times New Roman" w:cs="Times New Roman"/>
          <w:b/>
          <w:i/>
          <w:color w:val="4F81BD" w:themeColor="accent1"/>
          <w:sz w:val="28"/>
          <w:szCs w:val="28"/>
        </w:rPr>
        <w:t>guajava</w:t>
      </w:r>
      <w:proofErr w:type="spellEnd"/>
      <w:r w:rsidRPr="008040A0">
        <w:rPr>
          <w:rFonts w:ascii="Times New Roman" w:eastAsia="Calibri" w:hAnsi="Times New Roman" w:cs="Times New Roman"/>
          <w:b/>
          <w:i/>
          <w:color w:val="4F81BD" w:themeColor="accent1"/>
          <w:sz w:val="28"/>
          <w:szCs w:val="28"/>
        </w:rPr>
        <w:t xml:space="preserve"> L., </w:t>
      </w:r>
      <w:proofErr w:type="spellStart"/>
      <w:r w:rsidRPr="008040A0">
        <w:rPr>
          <w:rFonts w:ascii="Times New Roman" w:eastAsia="Calibri" w:hAnsi="Times New Roman" w:cs="Times New Roman"/>
          <w:b/>
          <w:i/>
          <w:color w:val="4F81BD" w:themeColor="accent1"/>
          <w:sz w:val="28"/>
          <w:szCs w:val="28"/>
        </w:rPr>
        <w:t>Syzygium</w:t>
      </w:r>
      <w:proofErr w:type="spellEnd"/>
      <w:r w:rsidRPr="008040A0">
        <w:rPr>
          <w:rFonts w:ascii="Times New Roman" w:eastAsia="Calibri" w:hAnsi="Times New Roman" w:cs="Times New Roman"/>
          <w:b/>
          <w:i/>
          <w:color w:val="4F81BD" w:themeColor="accent1"/>
          <w:sz w:val="28"/>
          <w:szCs w:val="28"/>
        </w:rPr>
        <w:t xml:space="preserve"> </w:t>
      </w:r>
      <w:proofErr w:type="spellStart"/>
      <w:r w:rsidRPr="008040A0">
        <w:rPr>
          <w:rFonts w:ascii="Times New Roman" w:eastAsia="Calibri" w:hAnsi="Times New Roman" w:cs="Times New Roman"/>
          <w:b/>
          <w:i/>
          <w:color w:val="4F81BD" w:themeColor="accent1"/>
          <w:sz w:val="28"/>
          <w:szCs w:val="28"/>
        </w:rPr>
        <w:t>polyanthum</w:t>
      </w:r>
      <w:proofErr w:type="spellEnd"/>
      <w:r w:rsidRPr="008040A0">
        <w:rPr>
          <w:rFonts w:ascii="Times New Roman" w:eastAsia="Calibri" w:hAnsi="Times New Roman" w:cs="Times New Roman"/>
          <w:b/>
          <w:i/>
          <w:color w:val="4F81BD" w:themeColor="accent1"/>
          <w:sz w:val="28"/>
          <w:szCs w:val="28"/>
        </w:rPr>
        <w:t xml:space="preserve">, and Annona </w:t>
      </w:r>
      <w:proofErr w:type="spellStart"/>
      <w:r w:rsidRPr="008040A0">
        <w:rPr>
          <w:rFonts w:ascii="Times New Roman" w:eastAsia="Calibri" w:hAnsi="Times New Roman" w:cs="Times New Roman"/>
          <w:b/>
          <w:i/>
          <w:color w:val="4F81BD" w:themeColor="accent1"/>
          <w:sz w:val="28"/>
          <w:szCs w:val="28"/>
        </w:rPr>
        <w:t>muricata</w:t>
      </w:r>
      <w:proofErr w:type="spellEnd"/>
    </w:p>
    <w:p w:rsidR="00AE3E37" w:rsidRDefault="00AE3E37" w:rsidP="00494130">
      <w:pPr>
        <w:pStyle w:val="Heading1"/>
        <w:spacing w:before="170"/>
        <w:ind w:left="0"/>
      </w:pPr>
    </w:p>
    <w:p w:rsidR="008040A0" w:rsidRPr="008040A0" w:rsidRDefault="008040A0">
      <w:pPr>
        <w:pStyle w:val="BodyText"/>
        <w:rPr>
          <w:rFonts w:ascii="Times New Roman" w:eastAsia="Calibri" w:hAnsi="Times New Roman" w:cs="Times New Roman"/>
          <w:lang w:val="id-ID"/>
        </w:rPr>
      </w:pPr>
      <w:r w:rsidRPr="008040A0">
        <w:rPr>
          <w:rFonts w:ascii="Times New Roman" w:eastAsia="Calibri" w:hAnsi="Times New Roman" w:cs="Times New Roman"/>
          <w:lang w:val="id-ID"/>
        </w:rPr>
        <w:t>Pamela Hendra Hen</w:t>
      </w:r>
      <w:r w:rsidRPr="008040A0">
        <w:rPr>
          <w:rFonts w:ascii="Times New Roman" w:eastAsia="Calibri" w:hAnsi="Times New Roman" w:cs="Times New Roman"/>
        </w:rPr>
        <w:t>g</w:t>
      </w:r>
    </w:p>
    <w:p w:rsidR="008040A0" w:rsidRPr="008040A0" w:rsidRDefault="00F35642" w:rsidP="008040A0">
      <w:pPr>
        <w:pStyle w:val="BodyText"/>
        <w:rPr>
          <w:rFonts w:ascii="Times New Roman" w:eastAsia="Calibri" w:hAnsi="Times New Roman" w:cs="Times New Roman"/>
          <w:lang w:val="id-ID"/>
        </w:rPr>
      </w:pPr>
      <w:r>
        <w:rPr>
          <w:rFonts w:ascii="Times New Roman" w:eastAsia="Calibri" w:hAnsi="Times New Roman" w:cs="Times New Roman"/>
          <w:lang w:val="id-ID"/>
        </w:rPr>
        <w:t>Kris H. Timotius</w:t>
      </w:r>
    </w:p>
    <w:p w:rsidR="00F35642" w:rsidRDefault="008040A0" w:rsidP="008040A0">
      <w:pPr>
        <w:pStyle w:val="BodyText"/>
        <w:rPr>
          <w:rFonts w:ascii="Times New Roman" w:eastAsia="Calibri" w:hAnsi="Times New Roman" w:cs="Times New Roman"/>
        </w:rPr>
      </w:pPr>
      <w:r w:rsidRPr="008040A0">
        <w:rPr>
          <w:rFonts w:ascii="Times New Roman" w:eastAsia="Calibri" w:hAnsi="Times New Roman" w:cs="Times New Roman"/>
          <w:lang w:val="id-ID"/>
        </w:rPr>
        <w:t>Ika Rahayu</w:t>
      </w:r>
    </w:p>
    <w:p w:rsidR="00F35642" w:rsidRDefault="008040A0" w:rsidP="008040A0">
      <w:pPr>
        <w:pStyle w:val="BodyText"/>
        <w:rPr>
          <w:rFonts w:ascii="Times New Roman" w:eastAsia="Calibri" w:hAnsi="Times New Roman" w:cs="Times New Roman"/>
        </w:rPr>
      </w:pPr>
      <w:r w:rsidRPr="008040A0">
        <w:rPr>
          <w:rFonts w:ascii="Times New Roman" w:eastAsia="Calibri" w:hAnsi="Times New Roman" w:cs="Times New Roman"/>
        </w:rPr>
        <w:t>Resea</w:t>
      </w:r>
      <w:r w:rsidR="00F35642">
        <w:rPr>
          <w:rFonts w:ascii="Times New Roman" w:eastAsia="Calibri" w:hAnsi="Times New Roman" w:cs="Times New Roman"/>
        </w:rPr>
        <w:t xml:space="preserve">rch and Development </w:t>
      </w:r>
      <w:proofErr w:type="spellStart"/>
      <w:r w:rsidR="00F35642">
        <w:rPr>
          <w:rFonts w:ascii="Times New Roman" w:eastAsia="Calibri" w:hAnsi="Times New Roman" w:cs="Times New Roman"/>
        </w:rPr>
        <w:t>Departemen</w:t>
      </w:r>
      <w:proofErr w:type="spellEnd"/>
    </w:p>
    <w:p w:rsidR="008040A0" w:rsidRPr="008040A0" w:rsidRDefault="008040A0" w:rsidP="008040A0">
      <w:pPr>
        <w:pStyle w:val="BodyText"/>
        <w:rPr>
          <w:rFonts w:ascii="Times New Roman" w:eastAsia="Calibri" w:hAnsi="Times New Roman" w:cs="Times New Roman"/>
          <w:lang w:val="id-ID"/>
        </w:rPr>
      </w:pPr>
      <w:r w:rsidRPr="008040A0">
        <w:rPr>
          <w:rFonts w:ascii="Times New Roman" w:eastAsia="Calibri" w:hAnsi="Times New Roman" w:cs="Times New Roman"/>
        </w:rPr>
        <w:t>Faculty of Medicine, UKRIDA</w:t>
      </w:r>
    </w:p>
    <w:p w:rsidR="00AE3E37" w:rsidRPr="008040A0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EC43C4" w:rsidRDefault="00A9710C" w:rsidP="00B96091">
      <w:pPr>
        <w:pStyle w:val="Heading3"/>
        <w:spacing w:before="147"/>
        <w:jc w:val="both"/>
        <w:rPr>
          <w:color w:val="BF5A14"/>
          <w:sz w:val="18"/>
          <w:szCs w:val="18"/>
        </w:rPr>
      </w:pPr>
      <w:r w:rsidRPr="00EC43C4">
        <w:rPr>
          <w:color w:val="BF5A14"/>
          <w:sz w:val="18"/>
          <w:szCs w:val="18"/>
        </w:rPr>
        <w:t>Abstract</w:t>
      </w:r>
      <w:r w:rsidR="00404E5B" w:rsidRPr="00EC43C4">
        <w:rPr>
          <w:color w:val="BF5A14"/>
          <w:sz w:val="18"/>
          <w:szCs w:val="18"/>
        </w:rPr>
        <w:t xml:space="preserve"> </w:t>
      </w:r>
    </w:p>
    <w:p w:rsidR="00B96091" w:rsidRPr="00B96091" w:rsidRDefault="00B96091" w:rsidP="00B96091">
      <w:pPr>
        <w:pStyle w:val="Heading3"/>
        <w:spacing w:before="147"/>
        <w:jc w:val="both"/>
        <w:rPr>
          <w:color w:val="BF5A14"/>
          <w:sz w:val="18"/>
          <w:szCs w:val="18"/>
        </w:rPr>
      </w:pPr>
    </w:p>
    <w:p w:rsidR="008040A0" w:rsidRPr="00EC43C4" w:rsidRDefault="0086416C" w:rsidP="008040A0">
      <w:pPr>
        <w:pStyle w:val="NormalWeb"/>
        <w:kinsoku w:val="0"/>
        <w:overflowPunct w:val="0"/>
        <w:spacing w:before="0" w:beforeAutospacing="0" w:after="200" w:afterAutospacing="0" w:line="360" w:lineRule="auto"/>
        <w:jc w:val="both"/>
        <w:textAlignment w:val="baseline"/>
        <w:rPr>
          <w:rFonts w:eastAsia="Calibri"/>
          <w:color w:val="000000"/>
          <w:kern w:val="24"/>
          <w:sz w:val="18"/>
          <w:szCs w:val="18"/>
          <w:lang w:val="id-ID"/>
        </w:rPr>
      </w:pPr>
      <w:r w:rsidRPr="006D5F6D">
        <w:rPr>
          <w:rFonts w:ascii="Arial"/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-214278</wp:posOffset>
            </wp:positionH>
            <wp:positionV relativeFrom="paragraph">
              <wp:posOffset>2887980</wp:posOffset>
            </wp:positionV>
            <wp:extent cx="3648357" cy="2514190"/>
            <wp:effectExtent l="0" t="0" r="0" b="635"/>
            <wp:wrapNone/>
            <wp:docPr id="3" name="Picture 3" descr="C:\Users\UKRIDA-2\Documents\Poster Korea\Graphical abstra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KRIDA-2\Documents\Poster Korea\Graphical abstrac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690" cy="251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40A0" w:rsidRPr="00EC43C4">
        <w:rPr>
          <w:rFonts w:eastAsia="Calibri"/>
          <w:b/>
          <w:bCs/>
          <w:i/>
          <w:iCs/>
          <w:color w:val="000000"/>
          <w:kern w:val="24"/>
          <w:sz w:val="18"/>
          <w:szCs w:val="18"/>
          <w:lang w:val="id-ID"/>
        </w:rPr>
        <w:t>Objectives</w:t>
      </w:r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  <w:lang w:val="id-ID"/>
        </w:rPr>
        <w:t>:</w:t>
      </w:r>
      <w:r w:rsidR="008040A0"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 To investigate the antioxidant activity of mixed aqueous extract from leave of </w:t>
      </w:r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  <w:lang w:val="id-ID"/>
        </w:rPr>
        <w:t xml:space="preserve">Psidium guajava, Syzygium polyanthum, </w:t>
      </w:r>
      <w:r w:rsidR="008040A0" w:rsidRPr="00EC43C4">
        <w:rPr>
          <w:rFonts w:eastAsia="Calibri"/>
          <w:color w:val="000000"/>
          <w:kern w:val="24"/>
          <w:sz w:val="18"/>
          <w:szCs w:val="18"/>
          <w:lang w:val="id-ID"/>
        </w:rPr>
        <w:t>and</w:t>
      </w:r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  <w:lang w:val="id-ID"/>
        </w:rPr>
        <w:t xml:space="preserve"> Annona muricata. </w:t>
      </w:r>
      <w:r w:rsidR="008040A0" w:rsidRPr="00EC43C4">
        <w:rPr>
          <w:rFonts w:eastAsia="Calibri"/>
          <w:b/>
          <w:bCs/>
          <w:i/>
          <w:iCs/>
          <w:color w:val="000000"/>
          <w:kern w:val="24"/>
          <w:sz w:val="18"/>
          <w:szCs w:val="18"/>
          <w:lang w:val="id-ID"/>
        </w:rPr>
        <w:t>Methods</w:t>
      </w:r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  <w:lang w:val="id-ID"/>
        </w:rPr>
        <w:t>:</w:t>
      </w:r>
      <w:r w:rsidR="008040A0"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 Air dried leave were extracted with boiled aquadest. The antioxidant activities of the extract were measured. </w:t>
      </w:r>
      <w:r w:rsidR="008040A0" w:rsidRPr="00EC43C4">
        <w:rPr>
          <w:rFonts w:eastAsia="Calibri"/>
          <w:b/>
          <w:bCs/>
          <w:i/>
          <w:iCs/>
          <w:color w:val="000000"/>
          <w:kern w:val="24"/>
          <w:sz w:val="18"/>
          <w:szCs w:val="18"/>
          <w:lang w:val="id-ID"/>
        </w:rPr>
        <w:t>Results</w:t>
      </w:r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  <w:lang w:val="id-ID"/>
        </w:rPr>
        <w:t>:</w:t>
      </w:r>
      <w:r w:rsidR="008040A0"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 Based on the total phenolic content (GAE) of the extract, antioxidant activities of </w:t>
      </w:r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  <w:lang w:val="id-ID"/>
        </w:rPr>
        <w:t xml:space="preserve">P.guajava </w:t>
      </w:r>
      <w:r w:rsidR="008040A0"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and </w:t>
      </w:r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  <w:lang w:val="id-ID"/>
        </w:rPr>
        <w:t xml:space="preserve">S.polyanthum </w:t>
      </w:r>
      <w:r w:rsidR="008040A0"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showed a comparable result  with the BHT as positive control. The extract of </w:t>
      </w:r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  <w:lang w:val="id-ID"/>
        </w:rPr>
        <w:t>A</w:t>
      </w:r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</w:rPr>
        <w:t xml:space="preserve">. </w:t>
      </w:r>
      <w:proofErr w:type="spellStart"/>
      <w:proofErr w:type="gramStart"/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</w:rPr>
        <w:t>muricata</w:t>
      </w:r>
      <w:proofErr w:type="spellEnd"/>
      <w:proofErr w:type="gramEnd"/>
      <w:r w:rsidR="008040A0"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 showed higher IC</w:t>
      </w:r>
      <w:r w:rsidR="008040A0" w:rsidRPr="00EC43C4">
        <w:rPr>
          <w:rFonts w:eastAsia="Calibri"/>
          <w:color w:val="000000"/>
          <w:kern w:val="24"/>
          <w:position w:val="-5"/>
          <w:sz w:val="18"/>
          <w:szCs w:val="18"/>
          <w:vertAlign w:val="subscript"/>
          <w:lang w:val="id-ID"/>
        </w:rPr>
        <w:t>50</w:t>
      </w:r>
      <w:r w:rsidR="008040A0"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 than BHT.  The mixture of the extract showed an synergistic affect if there was no additional </w:t>
      </w:r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  <w:lang w:val="id-ID"/>
        </w:rPr>
        <w:t>A.muricata</w:t>
      </w:r>
      <w:r w:rsidR="008040A0"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 extract. The antagonistic effect was found when </w:t>
      </w:r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  <w:lang w:val="id-ID"/>
        </w:rPr>
        <w:t>A.muricata</w:t>
      </w:r>
      <w:r w:rsidR="008040A0"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 extract was added.</w:t>
      </w:r>
      <w:r w:rsidR="00EC43C4"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 </w:t>
      </w:r>
      <w:r w:rsidR="008040A0" w:rsidRPr="00EC43C4">
        <w:rPr>
          <w:rFonts w:eastAsia="Calibri"/>
          <w:b/>
          <w:i/>
          <w:iCs/>
          <w:color w:val="000000"/>
          <w:kern w:val="24"/>
          <w:sz w:val="18"/>
          <w:szCs w:val="18"/>
          <w:lang w:val="id-ID"/>
        </w:rPr>
        <w:t>Conclusion</w:t>
      </w:r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  <w:lang w:val="id-ID"/>
        </w:rPr>
        <w:t>:</w:t>
      </w:r>
      <w:r w:rsidR="008040A0"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 Leave aqueous extracts have good</w:t>
      </w:r>
      <w:r w:rsidR="00B37498">
        <w:rPr>
          <w:rFonts w:eastAsia="Calibri"/>
          <w:color w:val="000000"/>
          <w:kern w:val="24"/>
          <w:sz w:val="18"/>
          <w:szCs w:val="18"/>
          <w:lang w:val="id-ID"/>
        </w:rPr>
        <w:t xml:space="preserve"> antioxidant activities</w:t>
      </w:r>
      <w:r w:rsidR="008040A0"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. The use of mixed extracts have additional effect. Mixture </w:t>
      </w:r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  <w:lang w:val="id-ID"/>
        </w:rPr>
        <w:t xml:space="preserve">P. guajava </w:t>
      </w:r>
      <w:r w:rsidR="008040A0" w:rsidRPr="00EC43C4">
        <w:rPr>
          <w:rFonts w:eastAsia="Calibri"/>
          <w:color w:val="000000"/>
          <w:kern w:val="24"/>
          <w:sz w:val="18"/>
          <w:szCs w:val="18"/>
          <w:lang w:val="id-ID"/>
        </w:rPr>
        <w:t>and</w:t>
      </w:r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  <w:lang w:val="id-ID"/>
        </w:rPr>
        <w:t xml:space="preserve"> S. polyanthum </w:t>
      </w:r>
      <w:r w:rsidR="008040A0"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showed synergitic effect, but all mixture with </w:t>
      </w:r>
      <w:r w:rsidR="008040A0" w:rsidRPr="00EC43C4">
        <w:rPr>
          <w:rFonts w:eastAsia="Calibri"/>
          <w:i/>
          <w:iCs/>
          <w:color w:val="000000"/>
          <w:kern w:val="24"/>
          <w:sz w:val="18"/>
          <w:szCs w:val="18"/>
          <w:lang w:val="id-ID"/>
        </w:rPr>
        <w:t xml:space="preserve">A. Muricata </w:t>
      </w:r>
      <w:r w:rsidR="008040A0" w:rsidRPr="00EC43C4">
        <w:rPr>
          <w:rFonts w:eastAsia="Calibri"/>
          <w:color w:val="000000"/>
          <w:kern w:val="24"/>
          <w:sz w:val="18"/>
          <w:szCs w:val="18"/>
          <w:lang w:val="id-ID"/>
        </w:rPr>
        <w:t>showed antagonist effect.</w:t>
      </w:r>
    </w:p>
    <w:p w:rsidR="008040A0" w:rsidRPr="00EC43C4" w:rsidRDefault="008040A0" w:rsidP="008040A0">
      <w:pPr>
        <w:pStyle w:val="NormalWeb"/>
        <w:kinsoku w:val="0"/>
        <w:overflowPunct w:val="0"/>
        <w:spacing w:before="0" w:beforeAutospacing="0" w:after="200" w:afterAutospacing="0" w:line="360" w:lineRule="auto"/>
        <w:jc w:val="both"/>
        <w:textAlignment w:val="baseline"/>
        <w:rPr>
          <w:rFonts w:eastAsia="Calibri"/>
          <w:color w:val="000000"/>
          <w:kern w:val="24"/>
          <w:sz w:val="18"/>
          <w:szCs w:val="18"/>
          <w:lang w:val="id-ID"/>
        </w:rPr>
      </w:pPr>
    </w:p>
    <w:p w:rsidR="008040A0" w:rsidRPr="00EC43C4" w:rsidRDefault="008040A0" w:rsidP="008040A0">
      <w:pPr>
        <w:pStyle w:val="NormalWeb"/>
        <w:kinsoku w:val="0"/>
        <w:overflowPunct w:val="0"/>
        <w:spacing w:before="0" w:beforeAutospacing="0" w:after="200" w:afterAutospacing="0" w:line="360" w:lineRule="auto"/>
        <w:jc w:val="both"/>
        <w:textAlignment w:val="baseline"/>
        <w:rPr>
          <w:rFonts w:eastAsia="Calibri"/>
          <w:color w:val="000000"/>
          <w:kern w:val="24"/>
          <w:sz w:val="18"/>
          <w:szCs w:val="18"/>
          <w:lang w:val="id-ID"/>
        </w:rPr>
      </w:pPr>
    </w:p>
    <w:p w:rsidR="008040A0" w:rsidRPr="00EC43C4" w:rsidRDefault="008040A0" w:rsidP="008040A0">
      <w:pPr>
        <w:pStyle w:val="NormalWeb"/>
        <w:kinsoku w:val="0"/>
        <w:overflowPunct w:val="0"/>
        <w:spacing w:before="0" w:beforeAutospacing="0" w:after="200" w:afterAutospacing="0" w:line="360" w:lineRule="auto"/>
        <w:jc w:val="both"/>
        <w:textAlignment w:val="baseline"/>
        <w:rPr>
          <w:sz w:val="18"/>
          <w:szCs w:val="18"/>
        </w:rPr>
      </w:pPr>
    </w:p>
    <w:p w:rsidR="00C74276" w:rsidRPr="00EC43C4" w:rsidRDefault="00C74276" w:rsidP="00C74276">
      <w:pPr>
        <w:pStyle w:val="Heading3"/>
        <w:spacing w:before="74"/>
        <w:ind w:left="0"/>
        <w:rPr>
          <w:sz w:val="18"/>
          <w:szCs w:val="18"/>
          <w:lang w:val="id-ID"/>
        </w:rPr>
      </w:pPr>
    </w:p>
    <w:p w:rsidR="00AE3E37" w:rsidRPr="00EC43C4" w:rsidRDefault="00AE3E37">
      <w:pPr>
        <w:pStyle w:val="BodyText"/>
        <w:spacing w:before="2"/>
        <w:rPr>
          <w:rFonts w:ascii="Arial"/>
          <w:b/>
        </w:rPr>
      </w:pPr>
    </w:p>
    <w:p w:rsidR="00EC43C4" w:rsidRPr="00EC43C4" w:rsidRDefault="00EC43C4">
      <w:pPr>
        <w:pStyle w:val="BodyText"/>
        <w:spacing w:before="2"/>
        <w:rPr>
          <w:rFonts w:ascii="Arial"/>
          <w:b/>
        </w:rPr>
      </w:pPr>
    </w:p>
    <w:p w:rsidR="00EC43C4" w:rsidRPr="00EC43C4" w:rsidRDefault="00EC43C4">
      <w:pPr>
        <w:pStyle w:val="BodyText"/>
        <w:spacing w:before="2"/>
        <w:rPr>
          <w:rFonts w:ascii="Arial"/>
          <w:b/>
        </w:rPr>
      </w:pPr>
    </w:p>
    <w:p w:rsidR="00EC43C4" w:rsidRPr="00EC43C4" w:rsidRDefault="00EC43C4">
      <w:pPr>
        <w:pStyle w:val="BodyText"/>
        <w:spacing w:before="2"/>
        <w:rPr>
          <w:rFonts w:ascii="Arial"/>
          <w:b/>
        </w:rPr>
      </w:pPr>
    </w:p>
    <w:p w:rsidR="00EC43C4" w:rsidRPr="00EC43C4" w:rsidRDefault="00EC43C4">
      <w:pPr>
        <w:pStyle w:val="BodyText"/>
        <w:spacing w:before="2"/>
        <w:rPr>
          <w:rFonts w:ascii="Arial"/>
          <w:b/>
        </w:rPr>
      </w:pPr>
    </w:p>
    <w:p w:rsidR="00EC43C4" w:rsidRPr="00EC43C4" w:rsidRDefault="00EC43C4">
      <w:pPr>
        <w:pStyle w:val="BodyText"/>
        <w:spacing w:before="2"/>
        <w:rPr>
          <w:rFonts w:ascii="Arial"/>
          <w:b/>
        </w:rPr>
      </w:pPr>
    </w:p>
    <w:p w:rsidR="00EC43C4" w:rsidRPr="00EC43C4" w:rsidRDefault="00EC43C4">
      <w:pPr>
        <w:pStyle w:val="BodyText"/>
        <w:spacing w:before="2"/>
        <w:rPr>
          <w:rFonts w:ascii="Arial"/>
          <w:b/>
        </w:rPr>
      </w:pPr>
    </w:p>
    <w:p w:rsidR="00EC43C4" w:rsidRPr="00EC43C4" w:rsidRDefault="00EC43C4">
      <w:pPr>
        <w:pStyle w:val="BodyText"/>
        <w:spacing w:before="2"/>
        <w:rPr>
          <w:rFonts w:ascii="Arial"/>
          <w:b/>
        </w:rPr>
      </w:pPr>
    </w:p>
    <w:p w:rsidR="00EC43C4" w:rsidRPr="00EC43C4" w:rsidRDefault="00EC43C4">
      <w:pPr>
        <w:pStyle w:val="BodyText"/>
        <w:spacing w:before="2"/>
        <w:rPr>
          <w:rFonts w:ascii="Arial"/>
          <w:b/>
        </w:rPr>
      </w:pPr>
    </w:p>
    <w:p w:rsidR="00EC43C4" w:rsidRDefault="00EC43C4">
      <w:pPr>
        <w:pStyle w:val="BodyText"/>
        <w:spacing w:before="2"/>
        <w:rPr>
          <w:rFonts w:ascii="Arial"/>
          <w:b/>
        </w:rPr>
      </w:pPr>
    </w:p>
    <w:p w:rsidR="0086416C" w:rsidRDefault="0086416C">
      <w:pPr>
        <w:pStyle w:val="BodyText"/>
        <w:spacing w:before="2"/>
        <w:rPr>
          <w:rFonts w:ascii="Arial"/>
          <w:b/>
        </w:rPr>
      </w:pPr>
    </w:p>
    <w:p w:rsidR="006D5F6D" w:rsidRPr="006D5F6D" w:rsidRDefault="006D5F6D">
      <w:pPr>
        <w:pStyle w:val="BodyText"/>
        <w:spacing w:before="2"/>
        <w:rPr>
          <w:rFonts w:ascii="Times New Roman" w:hAnsi="Times New Roman" w:cs="Times New Roman"/>
          <w:lang w:val="id-ID"/>
        </w:rPr>
      </w:pPr>
      <w:r w:rsidRPr="006D5F6D">
        <w:rPr>
          <w:rFonts w:ascii="Times New Roman" w:hAnsi="Times New Roman" w:cs="Times New Roman"/>
          <w:lang w:val="id-ID"/>
        </w:rPr>
        <w:t xml:space="preserve">Figure. </w:t>
      </w:r>
      <w:r>
        <w:rPr>
          <w:rFonts w:ascii="Times New Roman" w:hAnsi="Times New Roman" w:cs="Times New Roman"/>
          <w:lang w:val="id-ID"/>
        </w:rPr>
        <w:t>Measurement of TPC and DPPH scavenging activity</w:t>
      </w:r>
    </w:p>
    <w:p w:rsidR="006D5F6D" w:rsidRDefault="006D5F6D">
      <w:pPr>
        <w:pStyle w:val="BodyText"/>
        <w:spacing w:before="2"/>
        <w:rPr>
          <w:rFonts w:ascii="Arial"/>
          <w:b/>
        </w:rPr>
      </w:pPr>
    </w:p>
    <w:p w:rsidR="0086416C" w:rsidRDefault="0086416C" w:rsidP="005973B9">
      <w:pPr>
        <w:spacing w:line="204" w:lineRule="exact"/>
        <w:rPr>
          <w:rFonts w:ascii="Arial"/>
          <w:b/>
          <w:color w:val="BF5A14"/>
          <w:sz w:val="18"/>
          <w:szCs w:val="18"/>
          <w:lang w:val="id-ID"/>
        </w:rPr>
      </w:pPr>
    </w:p>
    <w:p w:rsidR="0086416C" w:rsidRDefault="0086416C" w:rsidP="005973B9">
      <w:pPr>
        <w:spacing w:line="204" w:lineRule="exact"/>
        <w:rPr>
          <w:rFonts w:ascii="Arial"/>
          <w:b/>
          <w:color w:val="BF5A14"/>
          <w:sz w:val="18"/>
          <w:szCs w:val="18"/>
          <w:lang w:val="id-ID"/>
        </w:rPr>
      </w:pPr>
    </w:p>
    <w:p w:rsidR="00B96091" w:rsidRDefault="00B96091" w:rsidP="005973B9">
      <w:pPr>
        <w:spacing w:line="204" w:lineRule="exact"/>
        <w:rPr>
          <w:rFonts w:ascii="Arial"/>
          <w:b/>
          <w:color w:val="BF5A14"/>
          <w:sz w:val="18"/>
          <w:szCs w:val="18"/>
          <w:lang w:val="id-ID"/>
        </w:rPr>
      </w:pPr>
    </w:p>
    <w:p w:rsidR="00B96091" w:rsidRDefault="00B96091" w:rsidP="005973B9">
      <w:pPr>
        <w:spacing w:line="204" w:lineRule="exact"/>
        <w:rPr>
          <w:rFonts w:ascii="Arial"/>
          <w:b/>
          <w:color w:val="BF5A14"/>
          <w:sz w:val="18"/>
          <w:szCs w:val="18"/>
          <w:lang w:val="id-ID"/>
        </w:rPr>
      </w:pPr>
    </w:p>
    <w:p w:rsidR="00B96091" w:rsidRDefault="00B96091" w:rsidP="005973B9">
      <w:pPr>
        <w:spacing w:line="204" w:lineRule="exact"/>
        <w:rPr>
          <w:rFonts w:ascii="Arial"/>
          <w:b/>
          <w:color w:val="BF5A14"/>
          <w:sz w:val="18"/>
          <w:szCs w:val="18"/>
        </w:rPr>
      </w:pPr>
    </w:p>
    <w:p w:rsidR="00B96091" w:rsidRDefault="00B96091" w:rsidP="005973B9">
      <w:pPr>
        <w:spacing w:line="204" w:lineRule="exact"/>
        <w:rPr>
          <w:rFonts w:ascii="Arial"/>
          <w:b/>
          <w:color w:val="BF5A14"/>
          <w:sz w:val="18"/>
          <w:szCs w:val="18"/>
        </w:rPr>
      </w:pPr>
    </w:p>
    <w:p w:rsidR="00B96091" w:rsidRDefault="00B96091" w:rsidP="005973B9">
      <w:pPr>
        <w:spacing w:line="204" w:lineRule="exact"/>
        <w:rPr>
          <w:rFonts w:ascii="Arial"/>
          <w:b/>
          <w:color w:val="BF5A14"/>
          <w:sz w:val="18"/>
          <w:szCs w:val="18"/>
        </w:rPr>
      </w:pPr>
    </w:p>
    <w:p w:rsidR="00B96091" w:rsidRDefault="00B96091" w:rsidP="005973B9">
      <w:pPr>
        <w:spacing w:line="204" w:lineRule="exact"/>
        <w:rPr>
          <w:rFonts w:ascii="Arial"/>
          <w:b/>
          <w:color w:val="BF5A14"/>
          <w:sz w:val="18"/>
          <w:szCs w:val="18"/>
        </w:rPr>
      </w:pPr>
    </w:p>
    <w:p w:rsidR="008040A0" w:rsidRDefault="00B96091" w:rsidP="005973B9">
      <w:pPr>
        <w:spacing w:line="204" w:lineRule="exact"/>
        <w:rPr>
          <w:rFonts w:ascii="Arial"/>
          <w:b/>
          <w:color w:val="BF5A14"/>
          <w:sz w:val="18"/>
          <w:szCs w:val="18"/>
        </w:rPr>
      </w:pPr>
      <w:r>
        <w:rPr>
          <w:rFonts w:ascii="Arial"/>
          <w:b/>
          <w:color w:val="BF5A14"/>
          <w:sz w:val="18"/>
          <w:szCs w:val="18"/>
        </w:rPr>
        <w:t>R</w:t>
      </w:r>
      <w:r w:rsidR="005973B9" w:rsidRPr="00EC43C4">
        <w:rPr>
          <w:rFonts w:ascii="Arial"/>
          <w:b/>
          <w:color w:val="BF5A14"/>
          <w:sz w:val="18"/>
          <w:szCs w:val="18"/>
        </w:rPr>
        <w:t xml:space="preserve">ecent Publications </w:t>
      </w:r>
    </w:p>
    <w:p w:rsidR="00B96091" w:rsidRPr="00B96091" w:rsidRDefault="00B96091" w:rsidP="005973B9">
      <w:pPr>
        <w:spacing w:line="204" w:lineRule="exact"/>
        <w:rPr>
          <w:rFonts w:ascii="Arial"/>
          <w:b/>
          <w:color w:val="BF5A14"/>
          <w:sz w:val="18"/>
          <w:szCs w:val="18"/>
        </w:rPr>
      </w:pPr>
    </w:p>
    <w:p w:rsidR="008040A0" w:rsidRPr="00EC43C4" w:rsidRDefault="008040A0" w:rsidP="00E05C6C">
      <w:pPr>
        <w:pStyle w:val="NormalWeb"/>
        <w:kinsoku w:val="0"/>
        <w:overflowPunct w:val="0"/>
        <w:spacing w:before="0" w:beforeAutospacing="0" w:after="200" w:afterAutospacing="0"/>
        <w:ind w:left="180" w:hanging="180"/>
        <w:jc w:val="both"/>
        <w:textAlignment w:val="baseline"/>
        <w:rPr>
          <w:sz w:val="18"/>
          <w:szCs w:val="18"/>
        </w:rPr>
      </w:pPr>
      <w:r w:rsidRPr="00EC43C4">
        <w:rPr>
          <w:rFonts w:eastAsia="Calibri"/>
          <w:color w:val="000000"/>
          <w:kern w:val="24"/>
          <w:sz w:val="18"/>
          <w:szCs w:val="18"/>
        </w:rPr>
        <w:t xml:space="preserve">1. </w:t>
      </w:r>
      <w:r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Ablat, Abdulwali, Jamaludin Mohamad, Khalijah Awang, Jamil A.Shilpi, and Aditya Arya, 2014. Evaluation of Antidiabetic and Antioxidant Properties of Brucea javanica Seed. Hindawi Publ. Corporation. The Scientific World Journal Article ID 786130, 8 pages. </w:t>
      </w:r>
    </w:p>
    <w:p w:rsidR="008040A0" w:rsidRPr="00EC43C4" w:rsidRDefault="008040A0" w:rsidP="00E05C6C">
      <w:pPr>
        <w:pStyle w:val="NormalWeb"/>
        <w:kinsoku w:val="0"/>
        <w:overflowPunct w:val="0"/>
        <w:spacing w:before="0" w:beforeAutospacing="0" w:after="200" w:afterAutospacing="0"/>
        <w:ind w:left="180" w:hanging="180"/>
        <w:jc w:val="both"/>
        <w:textAlignment w:val="baseline"/>
        <w:rPr>
          <w:sz w:val="18"/>
          <w:szCs w:val="18"/>
        </w:rPr>
      </w:pPr>
      <w:r w:rsidRPr="00EC43C4">
        <w:rPr>
          <w:rFonts w:eastAsia="Calibri"/>
          <w:color w:val="000000"/>
          <w:kern w:val="24"/>
          <w:sz w:val="18"/>
          <w:szCs w:val="18"/>
        </w:rPr>
        <w:t>2. Blois, M.S. Antioxidant determination by the use of a stable free radical. Nature 181: 1199-1200.</w:t>
      </w:r>
      <w:r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 </w:t>
      </w:r>
    </w:p>
    <w:p w:rsidR="00CD7BDF" w:rsidRDefault="008040A0" w:rsidP="00E05C6C">
      <w:pPr>
        <w:pStyle w:val="NormalWeb"/>
        <w:kinsoku w:val="0"/>
        <w:overflowPunct w:val="0"/>
        <w:spacing w:before="0" w:beforeAutospacing="0" w:after="200" w:afterAutospacing="0"/>
        <w:ind w:left="180" w:hanging="180"/>
        <w:jc w:val="both"/>
        <w:textAlignment w:val="baseline"/>
        <w:rPr>
          <w:rFonts w:eastAsia="Calibri"/>
          <w:color w:val="000000"/>
          <w:kern w:val="24"/>
          <w:sz w:val="18"/>
          <w:szCs w:val="18"/>
          <w:lang w:val="id-ID"/>
        </w:rPr>
      </w:pPr>
      <w:r w:rsidRPr="00EC43C4">
        <w:rPr>
          <w:rFonts w:eastAsia="Calibri"/>
          <w:color w:val="000000"/>
          <w:kern w:val="24"/>
          <w:sz w:val="18"/>
          <w:szCs w:val="18"/>
        </w:rPr>
        <w:t xml:space="preserve">3. </w:t>
      </w:r>
      <w:r w:rsidRPr="00EC43C4">
        <w:rPr>
          <w:rFonts w:eastAsia="Calibri"/>
          <w:color w:val="000000"/>
          <w:kern w:val="24"/>
          <w:sz w:val="18"/>
          <w:szCs w:val="18"/>
          <w:lang w:val="id-ID"/>
        </w:rPr>
        <w:t xml:space="preserve">Indrianingsih, Anastasia Wheni; Sanro Tachibana and Kazutaka Itoh, 2015. In vitro evaluation of antioxidant and α-Glucosidase inhibitory assay of several tropical and subtropical plants. Procedia Environmental Sciences 28: 639-648. </w:t>
      </w:r>
    </w:p>
    <w:p w:rsidR="00CD7BDF" w:rsidRDefault="00CD7BDF" w:rsidP="00E05C6C">
      <w:pPr>
        <w:pStyle w:val="NormalWeb"/>
        <w:kinsoku w:val="0"/>
        <w:overflowPunct w:val="0"/>
        <w:spacing w:before="0" w:beforeAutospacing="0" w:after="200" w:afterAutospacing="0"/>
        <w:ind w:left="180" w:hanging="180"/>
        <w:jc w:val="both"/>
        <w:textAlignment w:val="baseline"/>
        <w:rPr>
          <w:rFonts w:eastAsia="Calibri"/>
          <w:sz w:val="18"/>
          <w:szCs w:val="18"/>
          <w:lang w:val="id-ID"/>
        </w:rPr>
      </w:pPr>
      <w:r>
        <w:rPr>
          <w:rFonts w:eastAsia="Calibri"/>
          <w:color w:val="000000"/>
          <w:kern w:val="24"/>
          <w:sz w:val="18"/>
          <w:szCs w:val="18"/>
          <w:lang w:val="id-ID"/>
        </w:rPr>
        <w:t xml:space="preserve">4. </w:t>
      </w:r>
      <w:r>
        <w:rPr>
          <w:rFonts w:eastAsia="Calibri"/>
          <w:sz w:val="18"/>
          <w:szCs w:val="18"/>
          <w:lang w:val="id-ID"/>
        </w:rPr>
        <w:t>Shukla, S., Juyeon, P., Dong-Ho, K., Sung-Yong, H., Jong, S.L., and Myunghee K.</w:t>
      </w:r>
      <w:r w:rsidR="00EC43C4" w:rsidRPr="00EC43C4">
        <w:rPr>
          <w:rFonts w:eastAsia="Calibri"/>
          <w:sz w:val="18"/>
          <w:szCs w:val="18"/>
          <w:lang w:val="id-ID"/>
        </w:rPr>
        <w:t xml:space="preserve"> 2016. Total phenolic cotent, antioxidant, tyrosinase and α-glucosidase inhibitory activities of water soluble extracts of noble starter culture Doenjang, a Korean fermented soyb</w:t>
      </w:r>
      <w:r w:rsidR="00247854">
        <w:rPr>
          <w:rFonts w:eastAsia="Calibri"/>
          <w:sz w:val="18"/>
          <w:szCs w:val="18"/>
          <w:lang w:val="id-ID"/>
        </w:rPr>
        <w:t xml:space="preserve">ean sauce variety. Food control, </w:t>
      </w:r>
      <w:r w:rsidR="00EC43C4" w:rsidRPr="00EC43C4">
        <w:rPr>
          <w:rFonts w:eastAsia="Calibri"/>
          <w:sz w:val="18"/>
          <w:szCs w:val="18"/>
          <w:lang w:val="id-ID"/>
        </w:rPr>
        <w:t>59: 854-861.</w:t>
      </w:r>
    </w:p>
    <w:p w:rsidR="00CD7BDF" w:rsidRPr="00CD7BDF" w:rsidRDefault="00CD7BDF" w:rsidP="00E05C6C">
      <w:pPr>
        <w:pStyle w:val="NormalWeb"/>
        <w:kinsoku w:val="0"/>
        <w:overflowPunct w:val="0"/>
        <w:spacing w:before="0" w:beforeAutospacing="0" w:after="200" w:afterAutospacing="0"/>
        <w:ind w:left="180" w:hanging="180"/>
        <w:jc w:val="both"/>
        <w:textAlignment w:val="baseline"/>
        <w:rPr>
          <w:rFonts w:eastAsia="Calibri"/>
          <w:sz w:val="18"/>
          <w:szCs w:val="18"/>
          <w:lang w:val="id-ID"/>
        </w:rPr>
      </w:pPr>
      <w:r>
        <w:rPr>
          <w:rFonts w:eastAsia="Calibri"/>
          <w:color w:val="000000"/>
          <w:kern w:val="24"/>
          <w:sz w:val="18"/>
          <w:szCs w:val="18"/>
          <w:lang w:val="id-ID"/>
        </w:rPr>
        <w:t>5.</w:t>
      </w:r>
      <w:r w:rsidRPr="00CD7BDF">
        <w:rPr>
          <w:rFonts w:eastAsia="Calibri"/>
          <w:color w:val="000000"/>
          <w:kern w:val="24"/>
          <w:sz w:val="18"/>
          <w:szCs w:val="18"/>
          <w:lang w:val="id-ID"/>
        </w:rPr>
        <w:t xml:space="preserve"> </w:t>
      </w:r>
      <w:r w:rsidRPr="00CD7BDF">
        <w:rPr>
          <w:rFonts w:eastAsia="Calibri"/>
          <w:sz w:val="18"/>
          <w:szCs w:val="18"/>
          <w:lang w:val="id-ID"/>
        </w:rPr>
        <w:t>Guimarặ</w:t>
      </w:r>
      <w:r w:rsidR="00247854">
        <w:rPr>
          <w:rFonts w:eastAsia="Calibri"/>
          <w:sz w:val="18"/>
          <w:szCs w:val="18"/>
          <w:lang w:val="id-ID"/>
        </w:rPr>
        <w:t xml:space="preserve">es R., </w:t>
      </w:r>
      <w:r w:rsidRPr="00CD7BDF">
        <w:rPr>
          <w:rFonts w:eastAsia="Calibri"/>
          <w:sz w:val="18"/>
          <w:szCs w:val="18"/>
          <w:lang w:val="id-ID"/>
        </w:rPr>
        <w:t>Barreria J</w:t>
      </w:r>
      <w:r w:rsidR="00247854">
        <w:rPr>
          <w:rFonts w:eastAsia="Calibri"/>
          <w:sz w:val="18"/>
          <w:szCs w:val="18"/>
          <w:lang w:val="id-ID"/>
        </w:rPr>
        <w:t>.</w:t>
      </w:r>
      <w:r w:rsidRPr="00CD7BDF">
        <w:rPr>
          <w:rFonts w:eastAsia="Calibri"/>
          <w:sz w:val="18"/>
          <w:szCs w:val="18"/>
          <w:lang w:val="id-ID"/>
        </w:rPr>
        <w:t>C</w:t>
      </w:r>
      <w:r w:rsidR="00247854">
        <w:rPr>
          <w:rFonts w:eastAsia="Calibri"/>
          <w:sz w:val="18"/>
          <w:szCs w:val="18"/>
          <w:lang w:val="id-ID"/>
        </w:rPr>
        <w:t>.</w:t>
      </w:r>
      <w:r w:rsidRPr="00CD7BDF">
        <w:rPr>
          <w:rFonts w:eastAsia="Calibri"/>
          <w:sz w:val="18"/>
          <w:szCs w:val="18"/>
          <w:lang w:val="id-ID"/>
        </w:rPr>
        <w:t>M</w:t>
      </w:r>
      <w:r w:rsidR="00247854">
        <w:rPr>
          <w:rFonts w:eastAsia="Calibri"/>
          <w:sz w:val="18"/>
          <w:szCs w:val="18"/>
          <w:lang w:val="id-ID"/>
        </w:rPr>
        <w:t>.</w:t>
      </w:r>
      <w:r w:rsidRPr="00CD7BDF">
        <w:rPr>
          <w:rFonts w:eastAsia="Calibri"/>
          <w:sz w:val="18"/>
          <w:szCs w:val="18"/>
          <w:lang w:val="id-ID"/>
        </w:rPr>
        <w:t>, Barros L</w:t>
      </w:r>
      <w:r w:rsidR="00247854">
        <w:rPr>
          <w:rFonts w:eastAsia="Calibri"/>
          <w:sz w:val="18"/>
          <w:szCs w:val="18"/>
          <w:lang w:val="id-ID"/>
        </w:rPr>
        <w:t>.</w:t>
      </w:r>
      <w:r w:rsidRPr="00CD7BDF">
        <w:rPr>
          <w:rFonts w:eastAsia="Calibri"/>
          <w:sz w:val="18"/>
          <w:szCs w:val="18"/>
          <w:lang w:val="id-ID"/>
        </w:rPr>
        <w:t xml:space="preserve">, </w:t>
      </w:r>
      <w:r w:rsidR="00247854">
        <w:rPr>
          <w:rFonts w:eastAsia="Calibri"/>
          <w:sz w:val="18"/>
          <w:szCs w:val="18"/>
          <w:lang w:val="id-ID"/>
        </w:rPr>
        <w:t>Carvalho A.M., Ferreira I.C.F.R. 2011</w:t>
      </w:r>
      <w:r w:rsidRPr="00CD7BDF">
        <w:rPr>
          <w:rFonts w:eastAsia="Calibri"/>
          <w:sz w:val="18"/>
          <w:szCs w:val="18"/>
          <w:lang w:val="id-ID"/>
        </w:rPr>
        <w:t>. Effects of oral dosage forms and storage period in the antioxidant properties of four species used in traditional herbal</w:t>
      </w:r>
      <w:r w:rsidR="00247854">
        <w:rPr>
          <w:rFonts w:eastAsia="Calibri"/>
          <w:sz w:val="18"/>
          <w:szCs w:val="18"/>
          <w:lang w:val="id-ID"/>
        </w:rPr>
        <w:t xml:space="preserve"> medicine. Phytother. Res, 25: 484-492</w:t>
      </w:r>
    </w:p>
    <w:p w:rsidR="00CD7BDF" w:rsidRPr="00CD7BDF" w:rsidRDefault="00CD7BDF" w:rsidP="00CD7BDF">
      <w:pPr>
        <w:pStyle w:val="NormalWeb"/>
        <w:kinsoku w:val="0"/>
        <w:overflowPunct w:val="0"/>
        <w:spacing w:before="0" w:beforeAutospacing="0" w:after="200" w:afterAutospacing="0"/>
        <w:ind w:left="180" w:hanging="180"/>
        <w:textAlignment w:val="baseline"/>
        <w:rPr>
          <w:rFonts w:eastAsia="Calibri"/>
          <w:color w:val="000000"/>
          <w:kern w:val="24"/>
          <w:sz w:val="18"/>
          <w:szCs w:val="18"/>
          <w:lang w:val="id-ID"/>
        </w:rPr>
      </w:pPr>
    </w:p>
    <w:p w:rsidR="00EC43C4" w:rsidRPr="00CD7BDF" w:rsidRDefault="00EC43C4" w:rsidP="008040A0">
      <w:pPr>
        <w:pStyle w:val="NormalWeb"/>
        <w:kinsoku w:val="0"/>
        <w:overflowPunct w:val="0"/>
        <w:spacing w:before="0" w:beforeAutospacing="0" w:after="200" w:afterAutospacing="0"/>
        <w:ind w:left="180" w:hanging="180"/>
        <w:textAlignment w:val="baseline"/>
        <w:rPr>
          <w:sz w:val="20"/>
          <w:szCs w:val="20"/>
        </w:rPr>
      </w:pPr>
    </w:p>
    <w:p w:rsidR="00AE3E37" w:rsidRPr="00CD7BDF" w:rsidRDefault="00AE3E37" w:rsidP="008756E6">
      <w:pPr>
        <w:tabs>
          <w:tab w:val="left" w:pos="384"/>
        </w:tabs>
        <w:ind w:right="117"/>
        <w:rPr>
          <w:sz w:val="20"/>
          <w:szCs w:val="20"/>
        </w:rPr>
      </w:pPr>
    </w:p>
    <w:p w:rsidR="00AE3E37" w:rsidRPr="00CD7BDF" w:rsidRDefault="008756E6">
      <w:pPr>
        <w:spacing w:line="200" w:lineRule="exact"/>
        <w:jc w:val="both"/>
        <w:rPr>
          <w:rFonts w:ascii="Calibri" w:hAnsi="Calibri"/>
          <w:sz w:val="20"/>
          <w:szCs w:val="20"/>
        </w:rPr>
      </w:pPr>
      <w:r w:rsidRPr="00CD7BDF">
        <w:rPr>
          <w:rFonts w:ascii="Calibri" w:hAnsi="Calibri"/>
          <w:sz w:val="20"/>
          <w:szCs w:val="20"/>
        </w:rPr>
        <w:t xml:space="preserve">   </w:t>
      </w:r>
    </w:p>
    <w:p w:rsidR="00EC43C4" w:rsidRPr="00CD7BDF" w:rsidRDefault="00EC43C4">
      <w:pPr>
        <w:spacing w:line="200" w:lineRule="exact"/>
        <w:jc w:val="both"/>
        <w:rPr>
          <w:rFonts w:ascii="Calibri" w:hAnsi="Calibri"/>
          <w:sz w:val="20"/>
          <w:szCs w:val="20"/>
        </w:rPr>
      </w:pPr>
    </w:p>
    <w:p w:rsidR="00EC43C4" w:rsidRPr="00CD7BDF" w:rsidRDefault="00EC43C4">
      <w:pPr>
        <w:spacing w:line="200" w:lineRule="exact"/>
        <w:jc w:val="both"/>
        <w:rPr>
          <w:rFonts w:ascii="Calibri" w:hAnsi="Calibri"/>
          <w:sz w:val="20"/>
          <w:szCs w:val="20"/>
        </w:rPr>
      </w:pPr>
    </w:p>
    <w:p w:rsidR="00EC43C4" w:rsidRPr="00CD7BDF" w:rsidRDefault="00EC43C4">
      <w:pPr>
        <w:spacing w:line="200" w:lineRule="exact"/>
        <w:jc w:val="both"/>
        <w:rPr>
          <w:rFonts w:ascii="Calibri" w:hAnsi="Calibri"/>
          <w:sz w:val="20"/>
          <w:szCs w:val="20"/>
        </w:rPr>
      </w:pPr>
    </w:p>
    <w:p w:rsidR="00EC43C4" w:rsidRPr="00CD7BDF" w:rsidRDefault="00EC43C4">
      <w:pPr>
        <w:spacing w:line="200" w:lineRule="exact"/>
        <w:jc w:val="both"/>
        <w:rPr>
          <w:rFonts w:ascii="Calibri" w:hAnsi="Calibri"/>
          <w:sz w:val="20"/>
          <w:szCs w:val="20"/>
        </w:rPr>
      </w:pPr>
    </w:p>
    <w:p w:rsidR="00EC43C4" w:rsidRPr="00CD7BDF" w:rsidRDefault="00EC43C4">
      <w:pPr>
        <w:spacing w:line="200" w:lineRule="exact"/>
        <w:jc w:val="both"/>
        <w:rPr>
          <w:rFonts w:ascii="Calibri" w:hAnsi="Calibri"/>
          <w:sz w:val="20"/>
          <w:szCs w:val="20"/>
        </w:rPr>
      </w:pPr>
    </w:p>
    <w:p w:rsidR="00EC43C4" w:rsidRDefault="00EC43C4">
      <w:pPr>
        <w:spacing w:line="200" w:lineRule="exact"/>
        <w:jc w:val="both"/>
        <w:rPr>
          <w:rFonts w:ascii="Calibri" w:hAnsi="Calibri"/>
        </w:rPr>
      </w:pPr>
    </w:p>
    <w:p w:rsidR="00EC43C4" w:rsidRDefault="00EC43C4">
      <w:pPr>
        <w:spacing w:line="200" w:lineRule="exact"/>
        <w:jc w:val="both"/>
        <w:rPr>
          <w:rFonts w:ascii="Calibri" w:hAnsi="Calibri"/>
        </w:rPr>
      </w:pPr>
    </w:p>
    <w:p w:rsidR="00EC43C4" w:rsidRDefault="00EC43C4">
      <w:pPr>
        <w:spacing w:line="200" w:lineRule="exact"/>
        <w:jc w:val="both"/>
        <w:rPr>
          <w:rFonts w:ascii="Calibri" w:hAnsi="Calibri"/>
        </w:rPr>
      </w:pPr>
    </w:p>
    <w:p w:rsidR="00EC43C4" w:rsidRDefault="00EC43C4">
      <w:pPr>
        <w:spacing w:line="200" w:lineRule="exact"/>
        <w:jc w:val="both"/>
        <w:rPr>
          <w:rFonts w:ascii="Calibri" w:hAnsi="Calibri"/>
        </w:rPr>
      </w:pPr>
    </w:p>
    <w:p w:rsidR="00EC43C4" w:rsidRDefault="00EC43C4">
      <w:pPr>
        <w:spacing w:line="200" w:lineRule="exact"/>
        <w:jc w:val="both"/>
        <w:rPr>
          <w:rFonts w:ascii="Calibri" w:hAnsi="Calibri"/>
        </w:rPr>
      </w:pPr>
    </w:p>
    <w:p w:rsidR="00EC43C4" w:rsidRDefault="00EC43C4">
      <w:pPr>
        <w:spacing w:line="200" w:lineRule="exact"/>
        <w:jc w:val="both"/>
        <w:rPr>
          <w:rFonts w:ascii="Calibri" w:hAnsi="Calibri"/>
        </w:rPr>
      </w:pPr>
    </w:p>
    <w:p w:rsidR="00EC43C4" w:rsidRDefault="00EC43C4">
      <w:pPr>
        <w:spacing w:line="200" w:lineRule="exact"/>
        <w:jc w:val="both"/>
        <w:rPr>
          <w:rFonts w:ascii="Calibri" w:hAnsi="Calibri"/>
        </w:rPr>
      </w:pPr>
    </w:p>
    <w:p w:rsidR="00EC43C4" w:rsidRDefault="00EC43C4">
      <w:pPr>
        <w:spacing w:line="200" w:lineRule="exact"/>
        <w:jc w:val="both"/>
        <w:rPr>
          <w:rFonts w:ascii="Calibri" w:hAnsi="Calibri"/>
        </w:rPr>
      </w:pPr>
    </w:p>
    <w:p w:rsidR="00EC43C4" w:rsidRDefault="00EC43C4">
      <w:pPr>
        <w:spacing w:line="200" w:lineRule="exact"/>
        <w:jc w:val="both"/>
        <w:rPr>
          <w:rFonts w:ascii="Calibri" w:hAnsi="Calibri"/>
        </w:rPr>
      </w:pPr>
    </w:p>
    <w:p w:rsidR="00B96091" w:rsidRDefault="00B96091">
      <w:pPr>
        <w:spacing w:line="200" w:lineRule="exact"/>
        <w:jc w:val="both"/>
        <w:rPr>
          <w:rFonts w:ascii="Calibri" w:hAnsi="Calibri"/>
        </w:rPr>
      </w:pPr>
    </w:p>
    <w:p w:rsidR="00B96091" w:rsidRDefault="00B96091">
      <w:pPr>
        <w:spacing w:line="200" w:lineRule="exact"/>
        <w:jc w:val="both"/>
        <w:rPr>
          <w:rFonts w:ascii="Calibri" w:hAnsi="Calibri"/>
        </w:rPr>
      </w:pPr>
    </w:p>
    <w:p w:rsidR="00B96091" w:rsidRDefault="00B96091">
      <w:pPr>
        <w:spacing w:line="200" w:lineRule="exact"/>
        <w:jc w:val="both"/>
        <w:rPr>
          <w:rFonts w:ascii="Calibri" w:hAnsi="Calibri"/>
        </w:rPr>
      </w:pPr>
    </w:p>
    <w:p w:rsidR="00B96091" w:rsidRDefault="00B96091">
      <w:pPr>
        <w:spacing w:line="200" w:lineRule="exact"/>
        <w:jc w:val="both"/>
        <w:rPr>
          <w:rFonts w:ascii="Calibri" w:hAnsi="Calibri"/>
        </w:rPr>
      </w:pPr>
    </w:p>
    <w:p w:rsidR="00B96091" w:rsidRDefault="00B96091">
      <w:pPr>
        <w:spacing w:line="200" w:lineRule="exact"/>
        <w:jc w:val="both"/>
        <w:rPr>
          <w:rFonts w:ascii="Calibri" w:hAnsi="Calibri"/>
        </w:rPr>
      </w:pPr>
    </w:p>
    <w:p w:rsidR="00B96091" w:rsidRDefault="00B96091">
      <w:pPr>
        <w:spacing w:line="200" w:lineRule="exact"/>
        <w:jc w:val="both"/>
        <w:rPr>
          <w:rFonts w:ascii="Calibri" w:hAnsi="Calibri"/>
        </w:rPr>
      </w:pPr>
    </w:p>
    <w:p w:rsidR="00EC43C4" w:rsidRDefault="00EC43C4">
      <w:pPr>
        <w:spacing w:line="200" w:lineRule="exact"/>
        <w:jc w:val="both"/>
        <w:rPr>
          <w:rFonts w:ascii="Calibri" w:hAnsi="Calibri"/>
        </w:rPr>
      </w:pPr>
    </w:p>
    <w:p w:rsidR="00EC43C4" w:rsidRDefault="00EC43C4">
      <w:pPr>
        <w:spacing w:line="200" w:lineRule="exact"/>
        <w:jc w:val="both"/>
        <w:rPr>
          <w:rFonts w:ascii="Calibri" w:hAnsi="Calibri"/>
        </w:rPr>
      </w:pPr>
    </w:p>
    <w:p w:rsidR="00EC43C4" w:rsidRDefault="00EC43C4">
      <w:pPr>
        <w:spacing w:line="200" w:lineRule="exact"/>
        <w:jc w:val="both"/>
        <w:rPr>
          <w:rFonts w:ascii="Calibri" w:hAnsi="Calibri"/>
        </w:rPr>
        <w:sectPr w:rsidR="00EC43C4" w:rsidSect="00EC43C4">
          <w:type w:val="continuous"/>
          <w:pgSz w:w="11910" w:h="16840"/>
          <w:pgMar w:top="1740" w:right="600" w:bottom="840" w:left="620" w:header="720" w:footer="720" w:gutter="0"/>
          <w:cols w:num="2" w:space="1004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86416C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0F4719C" wp14:editId="1CB74FD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14F0E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B37498" w:rsidRDefault="00E05C6C" w:rsidP="00404E5B">
      <w:pPr>
        <w:spacing w:before="92"/>
        <w:ind w:right="4234"/>
        <w:rPr>
          <w:noProof/>
        </w:rPr>
      </w:pPr>
      <w:r w:rsidRPr="00E05C6C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1150669</wp:posOffset>
            </wp:positionH>
            <wp:positionV relativeFrom="paragraph">
              <wp:posOffset>-139700</wp:posOffset>
            </wp:positionV>
            <wp:extent cx="1091123" cy="1118483"/>
            <wp:effectExtent l="0" t="0" r="0" b="5715"/>
            <wp:wrapNone/>
            <wp:docPr id="1" name="Picture 1" descr="E:\FLASH PUTIH\Data Lama\foto ika\edt 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FLASH PUTIH\Data Lama\foto ika\edt o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4" t="11379" r="3022" b="24470"/>
                    <a:stretch/>
                  </pic:blipFill>
                  <pic:spPr bwMode="auto">
                    <a:xfrm>
                      <a:off x="0" y="0"/>
                      <a:ext cx="1091123" cy="1118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  <w:r w:rsidR="00E647D3">
        <w:rPr>
          <w:noProof/>
        </w:rPr>
        <w:tab/>
      </w:r>
      <w:r w:rsidR="00E647D3">
        <w:rPr>
          <w:noProof/>
        </w:rPr>
        <w:tab/>
      </w:r>
    </w:p>
    <w:p w:rsidR="00B37498" w:rsidRDefault="00B37498" w:rsidP="00404E5B">
      <w:pPr>
        <w:spacing w:before="92"/>
        <w:ind w:right="4234"/>
        <w:rPr>
          <w:noProof/>
        </w:rPr>
      </w:pPr>
    </w:p>
    <w:p w:rsidR="00E05C6C" w:rsidRDefault="00E05C6C" w:rsidP="00B37498">
      <w:pPr>
        <w:spacing w:before="92"/>
        <w:ind w:left="2160" w:right="4234" w:firstLine="720"/>
        <w:rPr>
          <w:rFonts w:ascii="Arial"/>
          <w:color w:val="BF5A14"/>
          <w:lang w:val="id-ID"/>
        </w:rPr>
      </w:pPr>
    </w:p>
    <w:p w:rsidR="00E05C6C" w:rsidRDefault="00E05C6C" w:rsidP="00B37498">
      <w:pPr>
        <w:spacing w:before="92"/>
        <w:ind w:left="2160" w:right="4234" w:firstLine="720"/>
        <w:rPr>
          <w:rFonts w:ascii="Arial"/>
          <w:color w:val="BF5A14"/>
          <w:lang w:val="id-ID"/>
        </w:rPr>
      </w:pPr>
    </w:p>
    <w:p w:rsidR="00AE3E37" w:rsidRDefault="00F35642" w:rsidP="00E05C6C">
      <w:pPr>
        <w:spacing w:before="92"/>
        <w:ind w:left="2880" w:right="4234" w:firstLine="720"/>
        <w:rPr>
          <w:rFonts w:ascii="Arial"/>
          <w:color w:val="BF5A14"/>
          <w:lang w:val="id-ID"/>
        </w:rPr>
      </w:pPr>
      <w:r>
        <w:rPr>
          <w:rFonts w:ascii="Arial"/>
          <w:color w:val="BF5A14"/>
          <w:lang w:val="id-ID"/>
        </w:rPr>
        <w:t>Ika Rahayu</w:t>
      </w:r>
    </w:p>
    <w:p w:rsidR="00AE3E37" w:rsidRPr="009E16E0" w:rsidRDefault="00B77521" w:rsidP="00B37498">
      <w:pPr>
        <w:tabs>
          <w:tab w:val="left" w:pos="1843"/>
        </w:tabs>
        <w:spacing w:before="41" w:line="154" w:lineRule="exact"/>
        <w:ind w:left="1843" w:right="1618"/>
        <w:jc w:val="both"/>
        <w:rPr>
          <w:rFonts w:ascii="Arial"/>
          <w:sz w:val="14"/>
          <w:lang w:val="id-ID"/>
        </w:rPr>
      </w:pPr>
      <w:r>
        <w:rPr>
          <w:rFonts w:ascii="Arial"/>
          <w:sz w:val="14"/>
          <w:lang w:val="id-ID"/>
        </w:rPr>
        <w:t>Ika was graduated as Master in Molecular M</w:t>
      </w:r>
      <w:r w:rsidR="00E647D3">
        <w:rPr>
          <w:rFonts w:ascii="Arial"/>
          <w:sz w:val="14"/>
          <w:lang w:val="id-ID"/>
        </w:rPr>
        <w:t>edicine at Universitas Gadjah Mada</w:t>
      </w:r>
      <w:r>
        <w:rPr>
          <w:rFonts w:ascii="Arial"/>
          <w:sz w:val="14"/>
          <w:lang w:val="id-ID"/>
        </w:rPr>
        <w:t>, Indonesia</w:t>
      </w:r>
      <w:r w:rsidR="00E647D3">
        <w:rPr>
          <w:rFonts w:ascii="Arial"/>
          <w:sz w:val="14"/>
          <w:lang w:val="id-ID"/>
        </w:rPr>
        <w:t xml:space="preserve">. </w:t>
      </w:r>
      <w:r>
        <w:rPr>
          <w:rFonts w:ascii="Arial"/>
          <w:sz w:val="14"/>
          <w:lang w:val="id-ID"/>
        </w:rPr>
        <w:t xml:space="preserve">Her main research </w:t>
      </w:r>
      <w:r w:rsidR="00E647D3">
        <w:rPr>
          <w:rFonts w:ascii="Arial"/>
          <w:sz w:val="14"/>
          <w:lang w:val="id-ID"/>
        </w:rPr>
        <w:t>interest</w:t>
      </w:r>
      <w:r>
        <w:rPr>
          <w:rFonts w:ascii="Arial"/>
          <w:sz w:val="14"/>
          <w:lang w:val="id-ID"/>
        </w:rPr>
        <w:t xml:space="preserve"> is about </w:t>
      </w:r>
      <w:r w:rsidR="00E647D3">
        <w:rPr>
          <w:rFonts w:ascii="Arial"/>
          <w:sz w:val="14"/>
          <w:lang w:val="id-ID"/>
        </w:rPr>
        <w:t xml:space="preserve"> diabetes mellitus and </w:t>
      </w:r>
      <w:r>
        <w:rPr>
          <w:rFonts w:ascii="Arial"/>
          <w:sz w:val="14"/>
          <w:lang w:val="id-ID"/>
        </w:rPr>
        <w:t xml:space="preserve">especially </w:t>
      </w:r>
      <w:r w:rsidR="00E647D3">
        <w:rPr>
          <w:rFonts w:ascii="Arial"/>
          <w:sz w:val="14"/>
          <w:lang w:val="id-ID"/>
        </w:rPr>
        <w:t xml:space="preserve">diabetic foot ulcer. She is </w:t>
      </w:r>
      <w:r>
        <w:rPr>
          <w:rFonts w:ascii="Arial"/>
          <w:sz w:val="14"/>
          <w:lang w:val="id-ID"/>
        </w:rPr>
        <w:t xml:space="preserve">also doing </w:t>
      </w:r>
      <w:r w:rsidR="00E647D3">
        <w:rPr>
          <w:rFonts w:ascii="Arial"/>
          <w:sz w:val="14"/>
          <w:lang w:val="id-ID"/>
        </w:rPr>
        <w:t>rese</w:t>
      </w:r>
      <w:r w:rsidR="001B046C">
        <w:rPr>
          <w:rFonts w:ascii="Arial"/>
          <w:sz w:val="14"/>
          <w:lang w:val="id-ID"/>
        </w:rPr>
        <w:t xml:space="preserve">arch </w:t>
      </w:r>
      <w:r>
        <w:rPr>
          <w:rFonts w:ascii="Arial"/>
          <w:sz w:val="14"/>
          <w:lang w:val="id-ID"/>
        </w:rPr>
        <w:t xml:space="preserve">on antidiabetic compound </w:t>
      </w:r>
      <w:r w:rsidR="001B046C">
        <w:rPr>
          <w:rFonts w:ascii="Arial"/>
          <w:sz w:val="14"/>
          <w:lang w:val="id-ID"/>
        </w:rPr>
        <w:t xml:space="preserve"> extracte</w:t>
      </w:r>
      <w:r w:rsidR="00B37498">
        <w:rPr>
          <w:rFonts w:ascii="Arial"/>
          <w:sz w:val="14"/>
          <w:lang w:val="id-ID"/>
        </w:rPr>
        <w:t xml:space="preserve">d from </w:t>
      </w:r>
      <w:r>
        <w:rPr>
          <w:rFonts w:ascii="Arial"/>
          <w:sz w:val="14"/>
          <w:lang w:val="id-ID"/>
        </w:rPr>
        <w:t xml:space="preserve">herbal </w:t>
      </w:r>
      <w:r w:rsidR="00B37498">
        <w:rPr>
          <w:rFonts w:ascii="Arial"/>
          <w:sz w:val="14"/>
          <w:lang w:val="id-ID"/>
        </w:rPr>
        <w:t>material</w:t>
      </w:r>
      <w:r>
        <w:rPr>
          <w:rFonts w:ascii="Arial"/>
          <w:sz w:val="14"/>
          <w:lang w:val="id-ID"/>
        </w:rPr>
        <w:t xml:space="preserve">s, including </w:t>
      </w:r>
      <w:r w:rsidR="00AC1B05">
        <w:rPr>
          <w:rFonts w:ascii="Arial"/>
          <w:sz w:val="14"/>
          <w:lang w:val="id-ID"/>
        </w:rPr>
        <w:t>the combin</w:t>
      </w:r>
      <w:r>
        <w:rPr>
          <w:rFonts w:ascii="Arial"/>
          <w:sz w:val="14"/>
          <w:lang w:val="id-ID"/>
        </w:rPr>
        <w:t>ed</w:t>
      </w:r>
      <w:r w:rsidR="00AC1B05">
        <w:rPr>
          <w:rFonts w:ascii="Arial"/>
          <w:sz w:val="14"/>
          <w:lang w:val="id-ID"/>
        </w:rPr>
        <w:t xml:space="preserve"> effect for </w:t>
      </w:r>
      <w:r>
        <w:rPr>
          <w:rFonts w:ascii="Arial"/>
          <w:sz w:val="14"/>
          <w:lang w:val="id-ID"/>
        </w:rPr>
        <w:t xml:space="preserve">their antioxidant  as well as </w:t>
      </w:r>
      <w:r w:rsidR="00246676">
        <w:rPr>
          <w:rFonts w:ascii="Arial"/>
          <w:sz w:val="14"/>
          <w:lang w:val="id-ID"/>
        </w:rPr>
        <w:t xml:space="preserve">antidiabetic </w:t>
      </w:r>
      <w:r>
        <w:rPr>
          <w:rFonts w:ascii="Arial"/>
          <w:sz w:val="14"/>
          <w:lang w:val="id-ID"/>
        </w:rPr>
        <w:t>activity</w:t>
      </w:r>
      <w:r w:rsidR="00246676">
        <w:rPr>
          <w:rFonts w:ascii="Arial"/>
          <w:sz w:val="14"/>
          <w:lang w:val="id-ID"/>
        </w:rPr>
        <w:t xml:space="preserve"> of the extract. </w:t>
      </w:r>
    </w:p>
    <w:p w:rsidR="00AE3E37" w:rsidRPr="00C74276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C74276" w:rsidRPr="00EB197E">
          <w:rPr>
            <w:rStyle w:val="Hyperlink"/>
            <w:rFonts w:ascii="Arial"/>
            <w:sz w:val="14"/>
            <w:lang w:val="id-ID"/>
          </w:rPr>
          <w:t>ika.rahayu@ukrida.ac.id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EE1D9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2C7" w:rsidRDefault="007772C7">
      <w:r>
        <w:separator/>
      </w:r>
    </w:p>
  </w:endnote>
  <w:endnote w:type="continuationSeparator" w:id="0">
    <w:p w:rsidR="007772C7" w:rsidRDefault="00777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8040A0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8040A0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:rsidR="00AE3E37" w:rsidRPr="008040A0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8040A0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8040A0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8040A0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8040A0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:rsidR="00AE3E37" w:rsidRPr="008040A0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8040A0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8040A0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8040A0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8040A0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AE3E37" w:rsidRPr="008040A0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8040A0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8040A0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8040A0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AE3E37" w:rsidRPr="008040A0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8040A0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8040A0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8040A0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8040A0">
                            <w:rPr>
                              <w:rFonts w:ascii="Arial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 w:rsidRPr="008040A0">
                            <w:rPr>
                              <w:rFonts w:ascii="Arial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:rsidR="00AE3E37" w:rsidRPr="008040A0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8040A0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8040A0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8040A0">
                      <w:rPr>
                        <w:rFonts w:ascii="Arial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 w:rsidRPr="008040A0">
                      <w:rPr>
                        <w:rFonts w:ascii="Arial"/>
                        <w:color w:val="FFFFFF"/>
                        <w:sz w:val="16"/>
                      </w:rPr>
                      <w:t>Suppl</w:t>
                    </w:r>
                    <w:proofErr w:type="spellEnd"/>
                    <w:r w:rsidRPr="008040A0">
                      <w:rPr>
                        <w:rFonts w:ascii="Arial"/>
                        <w:color w:val="FFFFFF"/>
                        <w:sz w:val="16"/>
                      </w:rPr>
                      <w:t>)</w:t>
                    </w:r>
                  </w:p>
                  <w:p w:rsidR="00AE3E37" w:rsidRPr="008040A0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8040A0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2C7" w:rsidRDefault="007772C7">
      <w:r>
        <w:separator/>
      </w:r>
    </w:p>
  </w:footnote>
  <w:footnote w:type="continuationSeparator" w:id="0">
    <w:p w:rsidR="007772C7" w:rsidRDefault="007772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8040A0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8040A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8040A0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8040A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8040A0">
                            <w:rPr>
                              <w:rFonts w:ascii="Arial"/>
                              <w:color w:val="FFFFFF"/>
                              <w:sz w:val="14"/>
                            </w:rPr>
                            <w:t>Suppl</w:t>
                          </w:r>
                          <w:proofErr w:type="spellEnd"/>
                          <w:r w:rsidRPr="008040A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8040A0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8040A0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8040A0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8040A0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8040A0">
                      <w:rPr>
                        <w:rFonts w:ascii="Arial"/>
                        <w:color w:val="FFFFFF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8040A0">
                      <w:rPr>
                        <w:rFonts w:ascii="Arial"/>
                        <w:color w:val="FFFFFF"/>
                        <w:sz w:val="14"/>
                      </w:rPr>
                      <w:t>Suppl</w:t>
                    </w:r>
                    <w:proofErr w:type="spellEnd"/>
                    <w:r w:rsidRPr="008040A0">
                      <w:rPr>
                        <w:rFonts w:ascii="Arial"/>
                        <w:color w:val="FFFFFF"/>
                        <w:sz w:val="14"/>
                      </w:rPr>
                      <w:t xml:space="preserve">) </w:t>
                    </w:r>
                    <w:hyperlink r:id="rId2">
                      <w:r w:rsidRPr="008040A0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8040A0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8040A0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AE3E37" w:rsidRPr="008040A0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8040A0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8040A0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8040A0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8040A0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:rsidR="00AE3E37" w:rsidRPr="008040A0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8040A0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8040A0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B046C"/>
    <w:rsid w:val="002455EC"/>
    <w:rsid w:val="00246676"/>
    <w:rsid w:val="00247854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0D50"/>
    <w:rsid w:val="0063497F"/>
    <w:rsid w:val="00684457"/>
    <w:rsid w:val="006D5F6D"/>
    <w:rsid w:val="007772C7"/>
    <w:rsid w:val="008040A0"/>
    <w:rsid w:val="0086416C"/>
    <w:rsid w:val="00867733"/>
    <w:rsid w:val="00873DF0"/>
    <w:rsid w:val="008756E6"/>
    <w:rsid w:val="008A08B6"/>
    <w:rsid w:val="009B2D44"/>
    <w:rsid w:val="009E16E0"/>
    <w:rsid w:val="00A07E82"/>
    <w:rsid w:val="00A9710C"/>
    <w:rsid w:val="00AC1B05"/>
    <w:rsid w:val="00AE3E37"/>
    <w:rsid w:val="00B21A57"/>
    <w:rsid w:val="00B37498"/>
    <w:rsid w:val="00B77521"/>
    <w:rsid w:val="00B96091"/>
    <w:rsid w:val="00BD15C0"/>
    <w:rsid w:val="00C33602"/>
    <w:rsid w:val="00C74276"/>
    <w:rsid w:val="00CD6F55"/>
    <w:rsid w:val="00CD7BDF"/>
    <w:rsid w:val="00DA1FFB"/>
    <w:rsid w:val="00DC3AC2"/>
    <w:rsid w:val="00DE3104"/>
    <w:rsid w:val="00E05C6C"/>
    <w:rsid w:val="00E26B10"/>
    <w:rsid w:val="00E647D3"/>
    <w:rsid w:val="00EC43C4"/>
    <w:rsid w:val="00F35642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A4B4008F-E688-46FF-85D1-3AA297FB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8040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ka.rahayu@ukrida.ac.id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14</cp:revision>
  <dcterms:created xsi:type="dcterms:W3CDTF">2017-06-15T06:15:00Z</dcterms:created>
  <dcterms:modified xsi:type="dcterms:W3CDTF">2017-06-21T03:34:00Z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