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CFB32F" w14:textId="46981C96" w:rsidR="00B30F45" w:rsidRPr="00AE6D2D" w:rsidRDefault="00477B89" w:rsidP="00477B8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Antifungal activity and </w:t>
      </w:r>
      <w:r w:rsidR="0019327D"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ifferential </w:t>
      </w:r>
      <w:r w:rsidR="0019327D"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esponses of CaZn</w:t>
      </w:r>
      <w:r w:rsidRPr="00AE6D2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(OH)</w:t>
      </w:r>
      <w:r w:rsidRPr="00AE6D2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6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·2H</w:t>
      </w:r>
      <w:r w:rsidRPr="00AE6D2D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2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 and ZnO </w:t>
      </w:r>
      <w:r w:rsidR="0019327D"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Pr="00AE6D2D">
        <w:rPr>
          <w:rFonts w:ascii="Times New Roman" w:hAnsi="Times New Roman" w:cs="Times New Roman"/>
          <w:b/>
          <w:bCs/>
          <w:sz w:val="24"/>
          <w:szCs w:val="24"/>
          <w:lang w:val="en-US"/>
        </w:rPr>
        <w:t>anoparticles</w:t>
      </w:r>
    </w:p>
    <w:p w14:paraId="51E5E84B" w14:textId="650D8474" w:rsidR="00FB569A" w:rsidRPr="00AE6D2D" w:rsidRDefault="00FB569A" w:rsidP="00FB569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E6D2D">
        <w:rPr>
          <w:rFonts w:ascii="Times New Roman" w:hAnsi="Times New Roman" w:cs="Times New Roman"/>
          <w:sz w:val="24"/>
          <w:szCs w:val="24"/>
        </w:rPr>
        <w:t>Lázaro-Mass, Stephania</w:t>
      </w:r>
      <w:r w:rsidR="0019327D" w:rsidRPr="00AE6D2D">
        <w:rPr>
          <w:rFonts w:ascii="Times New Roman" w:hAnsi="Times New Roman" w:cs="Times New Roman"/>
          <w:sz w:val="24"/>
          <w:szCs w:val="24"/>
        </w:rPr>
        <w:t xml:space="preserve"> [1]</w:t>
      </w:r>
      <w:r w:rsidRPr="00AE6D2D">
        <w:rPr>
          <w:rFonts w:ascii="Times New Roman" w:hAnsi="Times New Roman" w:cs="Times New Roman"/>
          <w:sz w:val="24"/>
          <w:szCs w:val="24"/>
        </w:rPr>
        <w:t xml:space="preserve">, </w:t>
      </w:r>
      <w:r w:rsidR="0060443B" w:rsidRPr="00AE6D2D">
        <w:rPr>
          <w:rFonts w:ascii="Times New Roman" w:hAnsi="Times New Roman" w:cs="Times New Roman"/>
          <w:sz w:val="24"/>
          <w:szCs w:val="24"/>
        </w:rPr>
        <w:t xml:space="preserve">Sánchez-García, Tania [2], </w:t>
      </w:r>
      <w:r w:rsidRPr="00AE6D2D">
        <w:rPr>
          <w:rFonts w:ascii="Times New Roman" w:hAnsi="Times New Roman" w:cs="Times New Roman"/>
          <w:sz w:val="24"/>
          <w:szCs w:val="24"/>
        </w:rPr>
        <w:t>De la Rosa-García, Susana [2], Quintana-Owen, Patricia [1], Gómez-Cornelio, Sergio [3</w:t>
      </w:r>
      <w:r w:rsidR="00BE36F3" w:rsidRPr="00AE6D2D">
        <w:rPr>
          <w:rFonts w:ascii="Times New Roman" w:hAnsi="Times New Roman" w:cs="Times New Roman"/>
          <w:sz w:val="24"/>
          <w:szCs w:val="24"/>
        </w:rPr>
        <w:t>,4</w:t>
      </w:r>
      <w:r w:rsidRPr="00AE6D2D">
        <w:rPr>
          <w:rFonts w:ascii="Times New Roman" w:hAnsi="Times New Roman" w:cs="Times New Roman"/>
          <w:sz w:val="24"/>
          <w:szCs w:val="24"/>
        </w:rPr>
        <w:t>]</w:t>
      </w:r>
      <w:r w:rsidR="003249B4" w:rsidRPr="00AE6D2D">
        <w:rPr>
          <w:rFonts w:ascii="Times New Roman" w:hAnsi="Times New Roman" w:cs="Times New Roman"/>
          <w:sz w:val="24"/>
          <w:szCs w:val="24"/>
        </w:rPr>
        <w:t>, Fort González, Rafael [5].</w:t>
      </w:r>
    </w:p>
    <w:p w14:paraId="67E93E9A" w14:textId="15155BF8" w:rsidR="0019327D" w:rsidRPr="00AE6D2D" w:rsidRDefault="0019327D" w:rsidP="00193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[1] Applied Physics Dept. </w:t>
      </w: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 xml:space="preserve">National Laboratory of Nano and Biomaterials, CINVESTAV-IPN, Cordemex, 97310 Mérida, Yucatán, Mexico </w:t>
      </w:r>
    </w:p>
    <w:p w14:paraId="1C1AF688" w14:textId="666E0F9B" w:rsidR="0019327D" w:rsidRPr="00AE6D2D" w:rsidRDefault="0019327D" w:rsidP="00193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[2] </w:t>
      </w: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>Laboratory of Applied Microbiology, Academic Division of Biological Sciences, Juarez Autonomous University of Tabasco, 0.5 Km Carr Villahermosa‑Cardenas, 86000 Villahermosa, Tabasco, Mexico</w:t>
      </w:r>
    </w:p>
    <w:p w14:paraId="2084AD42" w14:textId="0B677A0E" w:rsidR="0019327D" w:rsidRPr="00AE6D2D" w:rsidRDefault="0019327D" w:rsidP="00193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</w:pP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[3] </w:t>
      </w: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>Polytechnic University of the Center, Km. 22.5 Carr Federal Villahermosa‑</w:t>
      </w:r>
      <w:proofErr w:type="spellStart"/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>Teapa</w:t>
      </w:r>
      <w:proofErr w:type="spellEnd"/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>, Tumbulushal, Centro, 86290 Villahermosa, Tabasco, Mexico.</w:t>
      </w:r>
    </w:p>
    <w:p w14:paraId="71D3E95B" w14:textId="77777777" w:rsidR="0019327D" w:rsidRPr="00AE6D2D" w:rsidRDefault="0019327D" w:rsidP="00193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14:ligatures w14:val="standardContextual"/>
        </w:rPr>
      </w:pP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[4] </w:t>
      </w:r>
      <w:r w:rsidRPr="00AE6D2D">
        <w:rPr>
          <w:rFonts w:ascii="Times New Roman" w:hAnsi="Times New Roman" w:cs="Times New Roman"/>
          <w:i/>
          <w:iCs/>
          <w:sz w:val="20"/>
          <w:szCs w:val="20"/>
          <w:lang w:val="en-US"/>
          <w14:ligatures w14:val="standardContextual"/>
        </w:rPr>
        <w:t xml:space="preserve">Nanotechnology Laboratory‑CICTAT, Academic Division of Engineering and Architecture, Juarez Autonomous University of Tabasco, Carr. </w:t>
      </w:r>
      <w:proofErr w:type="spellStart"/>
      <w:r w:rsidRPr="00AE6D2D">
        <w:rPr>
          <w:rFonts w:ascii="Times New Roman" w:hAnsi="Times New Roman" w:cs="Times New Roman"/>
          <w:i/>
          <w:iCs/>
          <w:sz w:val="20"/>
          <w:szCs w:val="20"/>
          <w14:ligatures w14:val="standardContextual"/>
        </w:rPr>
        <w:t>Cunduacan</w:t>
      </w:r>
      <w:proofErr w:type="spellEnd"/>
      <w:r w:rsidRPr="00AE6D2D">
        <w:rPr>
          <w:rFonts w:ascii="Times New Roman" w:hAnsi="Times New Roman" w:cs="Times New Roman"/>
          <w:i/>
          <w:iCs/>
          <w:sz w:val="20"/>
          <w:szCs w:val="20"/>
          <w14:ligatures w14:val="standardContextual"/>
        </w:rPr>
        <w:t xml:space="preserve">‑Jalpa de Méndez, Km 1, 86690 Cunduacán, Tabasco, </w:t>
      </w:r>
    </w:p>
    <w:p w14:paraId="0995D68F" w14:textId="3147EA73" w:rsidR="0019327D" w:rsidRPr="00AE6D2D" w:rsidRDefault="0019327D" w:rsidP="00DD592C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  <w:r w:rsidRPr="00AE6D2D">
        <w:rPr>
          <w:rFonts w:ascii="Times New Roman" w:hAnsi="Times New Roman" w:cs="Times New Roman"/>
          <w:i/>
          <w:iCs/>
          <w:sz w:val="20"/>
          <w:szCs w:val="20"/>
        </w:rPr>
        <w:t xml:space="preserve">[5] </w:t>
      </w:r>
      <w:proofErr w:type="spellStart"/>
      <w:r w:rsidR="00DD592C" w:rsidRPr="00AE6D2D">
        <w:rPr>
          <w:rFonts w:ascii="Times New Roman" w:hAnsi="Times New Roman" w:cs="Times New Roman"/>
          <w:i/>
          <w:iCs/>
          <w:sz w:val="20"/>
          <w:szCs w:val="20"/>
        </w:rPr>
        <w:t>Instituteo</w:t>
      </w:r>
      <w:proofErr w:type="spellEnd"/>
      <w:r w:rsidR="00DD592C" w:rsidRPr="00AE6D2D">
        <w:rPr>
          <w:rFonts w:ascii="Times New Roman" w:hAnsi="Times New Roman" w:cs="Times New Roman"/>
          <w:i/>
          <w:iCs/>
          <w:sz w:val="20"/>
          <w:szCs w:val="20"/>
        </w:rPr>
        <w:t xml:space="preserve"> de Geociencias (CSIC, UCM), Severo Ochoa 7, CP 28040 Madrid, Spain</w:t>
      </w:r>
    </w:p>
    <w:p w14:paraId="00B4C075" w14:textId="77777777" w:rsidR="00DD592C" w:rsidRPr="00AE6D2D" w:rsidRDefault="00DD592C" w:rsidP="00DD592C">
      <w:pPr>
        <w:pStyle w:val="Default"/>
        <w:rPr>
          <w:rFonts w:ascii="Times New Roman" w:hAnsi="Times New Roman" w:cs="Times New Roman"/>
          <w:i/>
          <w:iCs/>
          <w:sz w:val="20"/>
          <w:szCs w:val="20"/>
        </w:rPr>
      </w:pPr>
    </w:p>
    <w:p w14:paraId="61025EC5" w14:textId="5A2F0AFD" w:rsidR="00932AB6" w:rsidRPr="00AE6D2D" w:rsidRDefault="00A90E03" w:rsidP="0000341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E6D2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Statement of the Problem</w:t>
      </w:r>
      <w:r w:rsidR="00FB569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>Sick Building Syndrome (SBS)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manifest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when building occupants experience health issues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like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allergies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and respiratory problems,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which are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>linked to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time spent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>indoors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65ED" w:rsidRPr="00AE6D2D">
        <w:rPr>
          <w:rFonts w:ascii="Times New Roman" w:hAnsi="Times New Roman" w:cs="Times New Roman"/>
          <w:sz w:val="24"/>
          <w:szCs w:val="24"/>
          <w:lang w:val="en-US"/>
        </w:rPr>
        <w:t>Nag, 2019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). These symptoms,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>often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related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>microorganism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, significantly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>affect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well-being and productivity. Mitigating SBS is crucial for </w:t>
      </w:r>
      <w:r w:rsidR="00BB0F91" w:rsidRPr="00AE6D2D">
        <w:rPr>
          <w:rFonts w:ascii="Times New Roman" w:hAnsi="Times New Roman" w:cs="Times New Roman"/>
          <w:sz w:val="24"/>
          <w:szCs w:val="24"/>
          <w:lang w:val="en-US"/>
        </w:rPr>
        <w:t>promote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healthy indoor environments. Nanoparticles</w:t>
      </w:r>
      <w:r w:rsidR="00BB0F9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49B4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(NP)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used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as additives </w:t>
      </w:r>
      <w:r w:rsidR="00BB0F91" w:rsidRPr="00AE6D2D">
        <w:rPr>
          <w:rFonts w:ascii="Times New Roman" w:hAnsi="Times New Roman" w:cs="Times New Roman"/>
          <w:sz w:val="24"/>
          <w:szCs w:val="24"/>
          <w:lang w:val="en-US"/>
        </w:rPr>
        <w:t>in construction materials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, improve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>mechanical properties and durability due to their high surface area and reactivity</w:t>
      </w:r>
      <w:r w:rsidR="001065E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(Vandenberg et al., 2021)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. However, proper </w:t>
      </w:r>
      <w:r w:rsidR="003249B4" w:rsidRPr="00AE6D2D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dispersion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is essential, </w:t>
      </w:r>
      <w:r w:rsidR="00DD592C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since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poor dispersion can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weaken 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mechanical properties and create </w:t>
      </w:r>
      <w:r w:rsidR="002E256E" w:rsidRPr="00AE6D2D">
        <w:rPr>
          <w:rFonts w:ascii="Times New Roman" w:hAnsi="Times New Roman" w:cs="Times New Roman"/>
          <w:sz w:val="24"/>
          <w:szCs w:val="24"/>
          <w:lang w:val="en-US"/>
        </w:rPr>
        <w:t>structural vulnerabilities</w:t>
      </w:r>
      <w:r w:rsidR="001065E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(Askari-</w:t>
      </w:r>
      <w:proofErr w:type="spellStart"/>
      <w:r w:rsidR="001065ED" w:rsidRPr="00AE6D2D">
        <w:rPr>
          <w:rFonts w:ascii="Times New Roman" w:hAnsi="Times New Roman" w:cs="Times New Roman"/>
          <w:sz w:val="24"/>
          <w:szCs w:val="24"/>
          <w:lang w:val="en-US"/>
        </w:rPr>
        <w:t>Dolatabad</w:t>
      </w:r>
      <w:proofErr w:type="spellEnd"/>
      <w:r w:rsidR="001065E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et al., 2020)</w:t>
      </w:r>
      <w:r w:rsidR="00932AB6" w:rsidRPr="00AE6D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A95ADD" w14:textId="574C4F3B" w:rsidR="00E63600" w:rsidRPr="00AE6D2D" w:rsidRDefault="00B84E17" w:rsidP="003238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E6D2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Methodology</w:t>
      </w:r>
      <w:r w:rsidR="00FB569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60443B" w:rsidRPr="00AE6D2D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e assessed the antifungal activity of </w:t>
      </w:r>
      <w:r w:rsidR="00DD592C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NP of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ZnO and CaZn</w:t>
      </w:r>
      <w:r w:rsidR="00F53FC1" w:rsidRPr="00AE6D2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(OH)</w:t>
      </w:r>
      <w:r w:rsidR="00F53FC1" w:rsidRPr="00AE6D2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·2H</w:t>
      </w:r>
      <w:r w:rsidR="00F53FC1" w:rsidRPr="00AE6D2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O (CZ) against </w:t>
      </w:r>
      <w:r w:rsidR="00C4488E" w:rsidRPr="00AE6D2D">
        <w:rPr>
          <w:rFonts w:ascii="Times New Roman" w:hAnsi="Times New Roman" w:cs="Times New Roman"/>
          <w:sz w:val="24"/>
          <w:szCs w:val="24"/>
          <w:lang w:val="en-US"/>
        </w:rPr>
        <w:t>fungal</w:t>
      </w:r>
      <w:r w:rsidR="00513F7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683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isolated from modern buildings with </w:t>
      </w:r>
      <w:r w:rsidR="004A2981" w:rsidRPr="00AE6D2D">
        <w:rPr>
          <w:rFonts w:ascii="Times New Roman" w:hAnsi="Times New Roman" w:cs="Times New Roman"/>
          <w:sz w:val="24"/>
          <w:szCs w:val="24"/>
          <w:lang w:val="en-US"/>
        </w:rPr>
        <w:t>microbi</w:t>
      </w:r>
      <w:r w:rsidR="00560683" w:rsidRPr="00AE6D2D">
        <w:rPr>
          <w:rFonts w:ascii="Times New Roman" w:hAnsi="Times New Roman" w:cs="Times New Roman"/>
          <w:sz w:val="24"/>
          <w:szCs w:val="24"/>
          <w:lang w:val="en-US"/>
        </w:rPr>
        <w:t>al growth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. The strains</w:t>
      </w:r>
      <w:r w:rsidR="004A298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were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identified </w:t>
      </w:r>
      <w:r w:rsidR="004A2981" w:rsidRPr="00AE6D2D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Scolecoba</w:t>
      </w:r>
      <w:r w:rsidR="00560683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idium</w:t>
      </w:r>
      <w:proofErr w:type="spellEnd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sp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., </w:t>
      </w:r>
      <w:proofErr w:type="spellStart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Curvularia</w:t>
      </w:r>
      <w:proofErr w:type="spellEnd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sp.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Phoma</w:t>
      </w:r>
      <w:proofErr w:type="spellEnd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sp.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Fusarium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sp.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E62AE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two strains of</w:t>
      </w:r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>Stachybotrys</w:t>
      </w:r>
      <w:proofErr w:type="spellEnd"/>
      <w:r w:rsidR="00F53FC1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>sp.</w:t>
      </w:r>
      <w:r w:rsidR="0013194E" w:rsidRPr="00AE6D2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53FC1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ZnO NP were synthesized using Sol-gel (SG) and Hydrothermal (HT) methods, while CZ NP were synthesized using SG, HT, and microwave (MW) methods. </w:t>
      </w:r>
      <w:r w:rsidR="00DD592C" w:rsidRPr="00AE6D2D">
        <w:rPr>
          <w:rFonts w:ascii="Times New Roman" w:hAnsi="Times New Roman" w:cs="Times New Roman"/>
          <w:sz w:val="24"/>
          <w:szCs w:val="24"/>
          <w:lang w:val="en-US"/>
        </w:rPr>
        <w:t>X-ray diffraction was applied to identify phase composition</w:t>
      </w:r>
      <w:r w:rsidR="0032382F" w:rsidRPr="00AE6D2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D592C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382F" w:rsidRPr="00AE6D2D">
        <w:rPr>
          <w:rFonts w:ascii="Times New Roman" w:eastAsia="PalatinoLinotype-Roman" w:hAnsi="Times New Roman" w:cs="Times New Roman"/>
          <w:sz w:val="24"/>
          <w:szCs w:val="24"/>
          <w:lang w:val="en-US"/>
          <w14:ligatures w14:val="standardContextual"/>
        </w:rPr>
        <w:t>Minimum inhibitory concentrations (MIC) and minimum fungicidal concentrations (MFC) were determined</w:t>
      </w:r>
      <w:r w:rsidR="00E62AE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63600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Based on the MIC, </w:t>
      </w:r>
      <w:r w:rsidR="00A90E03" w:rsidRPr="00AE6D2D">
        <w:rPr>
          <w:rFonts w:ascii="Times New Roman" w:hAnsi="Times New Roman" w:cs="Times New Roman"/>
          <w:sz w:val="24"/>
          <w:szCs w:val="24"/>
          <w:lang w:val="en-US"/>
        </w:rPr>
        <w:t>cement</w:t>
      </w:r>
      <w:r w:rsidR="00E63600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mortar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specimens </w:t>
      </w:r>
      <w:r w:rsidR="00E63600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with dimensions of 5 cm per side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will be prepared </w:t>
      </w:r>
      <w:r w:rsidR="00E63600" w:rsidRPr="00AE6D2D">
        <w:rPr>
          <w:rFonts w:ascii="Times New Roman" w:hAnsi="Times New Roman" w:cs="Times New Roman"/>
          <w:sz w:val="24"/>
          <w:szCs w:val="24"/>
          <w:lang w:val="en-US"/>
        </w:rPr>
        <w:t>to assess their antifungal protection against the fungal strains.</w:t>
      </w:r>
      <w:r w:rsidR="00910B22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B72C1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effectiveness of NP in the </w:t>
      </w:r>
      <w:r w:rsidR="00910B22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mortars </w:t>
      </w:r>
      <w:r w:rsidR="00D04764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will be </w:t>
      </w:r>
      <w:r w:rsidR="00910B22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assessed at </w:t>
      </w:r>
      <w:r w:rsidR="00D04764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both the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>beginning</w:t>
      </w:r>
      <w:r w:rsidR="00D04764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F1472A" w:rsidRPr="00AE6D2D">
        <w:rPr>
          <w:rFonts w:ascii="Times New Roman" w:hAnsi="Times New Roman" w:cs="Times New Roman"/>
          <w:sz w:val="24"/>
          <w:szCs w:val="24"/>
          <w:lang w:val="en-US"/>
        </w:rPr>
        <w:t>end</w:t>
      </w:r>
      <w:r w:rsidR="00D04764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of the assays </w:t>
      </w:r>
      <w:r w:rsidR="00B72C1D" w:rsidRPr="00AE6D2D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910B22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 techniques </w:t>
      </w:r>
      <w:r w:rsidR="00B72C1D" w:rsidRPr="00AE6D2D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r w:rsidR="00910B22" w:rsidRPr="00AE6D2D">
        <w:rPr>
          <w:rFonts w:ascii="Times New Roman" w:hAnsi="Times New Roman" w:cs="Times New Roman"/>
          <w:sz w:val="24"/>
          <w:szCs w:val="24"/>
          <w:lang w:val="en-US"/>
        </w:rPr>
        <w:t>ultrasonic pulse velocity, 3D mapping, colorimetric analysis, and vacuum water saturation.</w:t>
      </w:r>
    </w:p>
    <w:p w14:paraId="2FB78158" w14:textId="60381757" w:rsidR="00477B89" w:rsidRPr="00AE6D2D" w:rsidRDefault="00B84E17" w:rsidP="001065ED">
      <w:pPr>
        <w:pStyle w:val="NormalWeb"/>
        <w:spacing w:before="240" w:beforeAutospacing="0" w:after="0" w:afterAutospacing="0" w:line="276" w:lineRule="auto"/>
        <w:jc w:val="both"/>
        <w:rPr>
          <w:lang w:val="en-US"/>
        </w:rPr>
      </w:pPr>
      <w:r w:rsidRPr="00AE6D2D">
        <w:rPr>
          <w:b/>
          <w:bCs/>
          <w:i/>
          <w:iCs/>
          <w:lang w:val="en-US"/>
        </w:rPr>
        <w:t>Results</w:t>
      </w:r>
      <w:r w:rsidR="00FB569A" w:rsidRPr="00AE6D2D">
        <w:rPr>
          <w:b/>
          <w:bCs/>
          <w:lang w:val="en-US"/>
        </w:rPr>
        <w:t>:</w:t>
      </w:r>
      <w:r w:rsidR="00440B5E" w:rsidRPr="00AE6D2D">
        <w:rPr>
          <w:lang w:val="en-US"/>
        </w:rPr>
        <w:t xml:space="preserve"> ZnO synthesis </w:t>
      </w:r>
      <w:r w:rsidR="00BB0F91" w:rsidRPr="00AE6D2D">
        <w:rPr>
          <w:lang w:val="en-US"/>
        </w:rPr>
        <w:t xml:space="preserve">via SG and HT </w:t>
      </w:r>
      <w:r w:rsidR="00440B5E" w:rsidRPr="00AE6D2D">
        <w:rPr>
          <w:lang w:val="en-US"/>
        </w:rPr>
        <w:t xml:space="preserve">methods </w:t>
      </w:r>
      <w:r w:rsidR="00BB0F91" w:rsidRPr="00AE6D2D">
        <w:rPr>
          <w:lang w:val="en-US"/>
        </w:rPr>
        <w:t xml:space="preserve">resulted in </w:t>
      </w:r>
      <w:r w:rsidR="00440B5E" w:rsidRPr="00AE6D2D">
        <w:rPr>
          <w:lang w:val="en-US"/>
        </w:rPr>
        <w:t>pure compounds with crystallite sizes of 12 and 29 n</w:t>
      </w:r>
      <w:r w:rsidR="00BB0F91" w:rsidRPr="00AE6D2D">
        <w:rPr>
          <w:lang w:val="en-US"/>
        </w:rPr>
        <w:t xml:space="preserve">m, </w:t>
      </w:r>
      <w:r w:rsidR="0032382F" w:rsidRPr="00AE6D2D">
        <w:rPr>
          <w:lang w:val="en-US"/>
        </w:rPr>
        <w:t>respectively</w:t>
      </w:r>
      <w:r w:rsidR="00440B5E" w:rsidRPr="00AE6D2D">
        <w:rPr>
          <w:lang w:val="en-US"/>
        </w:rPr>
        <w:t xml:space="preserve">. CZ synthesis showed over 90% purity </w:t>
      </w:r>
      <w:r w:rsidR="00BB0F91" w:rsidRPr="00AE6D2D">
        <w:rPr>
          <w:lang w:val="en-US"/>
        </w:rPr>
        <w:t xml:space="preserve">for all </w:t>
      </w:r>
      <w:r w:rsidR="00440B5E" w:rsidRPr="00AE6D2D">
        <w:rPr>
          <w:lang w:val="en-US"/>
        </w:rPr>
        <w:t xml:space="preserve">methods, with minor </w:t>
      </w:r>
      <w:r w:rsidR="0032382F" w:rsidRPr="00AE6D2D">
        <w:rPr>
          <w:lang w:val="en-US"/>
        </w:rPr>
        <w:t>traces of</w:t>
      </w:r>
      <w:r w:rsidR="00440B5E" w:rsidRPr="00AE6D2D">
        <w:rPr>
          <w:lang w:val="en-US"/>
        </w:rPr>
        <w:t xml:space="preserve"> zincite, portlandite, and calcite, and crystallite sizes ranging from 56 to 70 nm.</w:t>
      </w:r>
      <w:r w:rsidR="00477B89" w:rsidRPr="00AE6D2D">
        <w:rPr>
          <w:lang w:val="en-US"/>
        </w:rPr>
        <w:t xml:space="preserve"> MIC</w:t>
      </w:r>
      <w:r w:rsidR="00BB0F91" w:rsidRPr="00AE6D2D">
        <w:rPr>
          <w:lang w:val="en-US"/>
        </w:rPr>
        <w:t xml:space="preserve"> </w:t>
      </w:r>
      <w:r w:rsidR="0032382F" w:rsidRPr="00AE6D2D">
        <w:rPr>
          <w:lang w:val="en-US"/>
        </w:rPr>
        <w:t>assays</w:t>
      </w:r>
      <w:r w:rsidR="00477B89" w:rsidRPr="00AE6D2D">
        <w:rPr>
          <w:lang w:val="en-US"/>
        </w:rPr>
        <w:t xml:space="preserve"> reveal</w:t>
      </w:r>
      <w:r w:rsidR="00BB0F91" w:rsidRPr="00AE6D2D">
        <w:rPr>
          <w:lang w:val="en-US"/>
        </w:rPr>
        <w:t>ed</w:t>
      </w:r>
      <w:r w:rsidR="00477B89" w:rsidRPr="00AE6D2D">
        <w:rPr>
          <w:lang w:val="en-US"/>
        </w:rPr>
        <w:t xml:space="preserve"> that CZ </w:t>
      </w:r>
      <w:r w:rsidR="009668A0" w:rsidRPr="00AE6D2D">
        <w:rPr>
          <w:lang w:val="en-US"/>
        </w:rPr>
        <w:t>we</w:t>
      </w:r>
      <w:r w:rsidR="00477B89" w:rsidRPr="00AE6D2D">
        <w:rPr>
          <w:lang w:val="en-US"/>
        </w:rPr>
        <w:t xml:space="preserve">re more effective against </w:t>
      </w:r>
      <w:r w:rsidR="00440B5E" w:rsidRPr="00AE6D2D">
        <w:rPr>
          <w:lang w:val="en-US"/>
        </w:rPr>
        <w:t xml:space="preserve">all </w:t>
      </w:r>
      <w:r w:rsidR="00477B89" w:rsidRPr="00AE6D2D">
        <w:rPr>
          <w:lang w:val="en-US"/>
        </w:rPr>
        <w:t>fungi, requiring lower concentrations for inhibition</w:t>
      </w:r>
      <w:r w:rsidR="00697C64" w:rsidRPr="00AE6D2D">
        <w:rPr>
          <w:lang w:val="en-US"/>
        </w:rPr>
        <w:t xml:space="preserve"> for CZ-MW</w:t>
      </w:r>
      <w:r w:rsidR="00477B89" w:rsidRPr="00AE6D2D">
        <w:rPr>
          <w:lang w:val="en-US"/>
        </w:rPr>
        <w:t xml:space="preserve">, </w:t>
      </w:r>
      <w:r w:rsidR="009668A0" w:rsidRPr="00AE6D2D">
        <w:rPr>
          <w:lang w:val="en-US"/>
        </w:rPr>
        <w:t>except</w:t>
      </w:r>
      <w:r w:rsidR="00477B89" w:rsidRPr="00AE6D2D">
        <w:rPr>
          <w:lang w:val="en-US"/>
        </w:rPr>
        <w:t xml:space="preserve"> </w:t>
      </w:r>
      <w:r w:rsidR="009668A0" w:rsidRPr="00AE6D2D">
        <w:rPr>
          <w:lang w:val="en-US"/>
        </w:rPr>
        <w:t>for</w:t>
      </w:r>
      <w:r w:rsidR="00477B89" w:rsidRPr="00AE6D2D">
        <w:rPr>
          <w:lang w:val="en-US"/>
        </w:rPr>
        <w:t xml:space="preserve"> </w:t>
      </w:r>
      <w:r w:rsidR="00477B89" w:rsidRPr="00AE6D2D">
        <w:rPr>
          <w:i/>
          <w:iCs/>
          <w:lang w:val="en-US"/>
        </w:rPr>
        <w:t>Fusarium</w:t>
      </w:r>
      <w:r w:rsidR="00477B89" w:rsidRPr="00AE6D2D">
        <w:rPr>
          <w:lang w:val="en-US"/>
        </w:rPr>
        <w:t xml:space="preserve"> sp., where ZnO </w:t>
      </w:r>
      <w:r w:rsidR="0032382F" w:rsidRPr="00AE6D2D">
        <w:rPr>
          <w:lang w:val="en-US"/>
        </w:rPr>
        <w:t>show higher</w:t>
      </w:r>
      <w:r w:rsidR="009668A0" w:rsidRPr="00AE6D2D">
        <w:rPr>
          <w:lang w:val="en-US"/>
        </w:rPr>
        <w:t xml:space="preserve"> </w:t>
      </w:r>
      <w:r w:rsidR="00440B5E" w:rsidRPr="00AE6D2D">
        <w:rPr>
          <w:lang w:val="en-US"/>
        </w:rPr>
        <w:t>eff</w:t>
      </w:r>
      <w:r w:rsidR="009668A0" w:rsidRPr="00AE6D2D">
        <w:rPr>
          <w:lang w:val="en-US"/>
        </w:rPr>
        <w:t>ective</w:t>
      </w:r>
      <w:r w:rsidR="0032382F" w:rsidRPr="00AE6D2D">
        <w:rPr>
          <w:lang w:val="en-US"/>
        </w:rPr>
        <w:t>ness</w:t>
      </w:r>
      <w:r w:rsidR="00477B89" w:rsidRPr="00AE6D2D">
        <w:rPr>
          <w:lang w:val="en-US"/>
        </w:rPr>
        <w:t xml:space="preserve">. </w:t>
      </w:r>
      <w:r w:rsidR="00FD20B6" w:rsidRPr="00AE6D2D">
        <w:rPr>
          <w:lang w:val="en-US"/>
        </w:rPr>
        <w:t>Interestingly</w:t>
      </w:r>
      <w:r w:rsidR="00477B89" w:rsidRPr="00AE6D2D">
        <w:rPr>
          <w:lang w:val="en-US"/>
        </w:rPr>
        <w:t xml:space="preserve">, CZ-SG demonstrated fungicidal activity against </w:t>
      </w:r>
      <w:r w:rsidR="00FD20B6" w:rsidRPr="00AE6D2D">
        <w:rPr>
          <w:lang w:val="en-US"/>
        </w:rPr>
        <w:t>most</w:t>
      </w:r>
      <w:r w:rsidR="00477B89" w:rsidRPr="00AE6D2D">
        <w:rPr>
          <w:lang w:val="en-US"/>
        </w:rPr>
        <w:t xml:space="preserve"> fungi.</w:t>
      </w:r>
      <w:r w:rsidR="00E62AED" w:rsidRPr="00AE6D2D">
        <w:rPr>
          <w:lang w:val="en-US"/>
        </w:rPr>
        <w:t xml:space="preserve"> T</w:t>
      </w:r>
      <w:r w:rsidR="00477B89" w:rsidRPr="00AE6D2D">
        <w:rPr>
          <w:lang w:val="en-US"/>
        </w:rPr>
        <w:t xml:space="preserve">he two strains of </w:t>
      </w:r>
      <w:proofErr w:type="spellStart"/>
      <w:r w:rsidR="00477B89" w:rsidRPr="00AE6D2D">
        <w:rPr>
          <w:i/>
          <w:iCs/>
          <w:lang w:val="en-US"/>
        </w:rPr>
        <w:t>Stachybotrys</w:t>
      </w:r>
      <w:proofErr w:type="spellEnd"/>
      <w:r w:rsidR="00477B89" w:rsidRPr="00AE6D2D">
        <w:rPr>
          <w:i/>
          <w:iCs/>
          <w:lang w:val="en-US"/>
        </w:rPr>
        <w:t xml:space="preserve"> </w:t>
      </w:r>
      <w:r w:rsidR="00477B89" w:rsidRPr="00AE6D2D">
        <w:rPr>
          <w:lang w:val="en-US"/>
        </w:rPr>
        <w:t xml:space="preserve">sp. </w:t>
      </w:r>
      <w:r w:rsidR="00697C64" w:rsidRPr="00AE6D2D">
        <w:rPr>
          <w:lang w:val="en-US"/>
        </w:rPr>
        <w:t>showed</w:t>
      </w:r>
      <w:r w:rsidR="0066534E" w:rsidRPr="00AE6D2D">
        <w:rPr>
          <w:lang w:val="en-US"/>
        </w:rPr>
        <w:t xml:space="preserve"> different</w:t>
      </w:r>
      <w:r w:rsidR="00477B89" w:rsidRPr="00AE6D2D">
        <w:rPr>
          <w:lang w:val="en-US"/>
        </w:rPr>
        <w:t xml:space="preserve"> response to </w:t>
      </w:r>
      <w:r w:rsidR="003249B4" w:rsidRPr="00AE6D2D">
        <w:rPr>
          <w:lang w:val="en-US"/>
        </w:rPr>
        <w:t>NP</w:t>
      </w:r>
      <w:r w:rsidR="00477B89" w:rsidRPr="00AE6D2D">
        <w:rPr>
          <w:lang w:val="en-US"/>
        </w:rPr>
        <w:t xml:space="preserve">. </w:t>
      </w:r>
      <w:r w:rsidR="00477B89" w:rsidRPr="00AE6D2D">
        <w:rPr>
          <w:i/>
          <w:iCs/>
          <w:lang w:val="en-US"/>
        </w:rPr>
        <w:t>Fusarium</w:t>
      </w:r>
      <w:r w:rsidR="00477B89" w:rsidRPr="00AE6D2D">
        <w:rPr>
          <w:lang w:val="en-US"/>
        </w:rPr>
        <w:t xml:space="preserve"> sp. </w:t>
      </w:r>
      <w:r w:rsidR="0066534E" w:rsidRPr="00AE6D2D">
        <w:rPr>
          <w:lang w:val="en-US"/>
        </w:rPr>
        <w:t xml:space="preserve">was </w:t>
      </w:r>
      <w:r w:rsidR="00477B89" w:rsidRPr="00AE6D2D">
        <w:rPr>
          <w:lang w:val="en-US"/>
        </w:rPr>
        <w:t xml:space="preserve">the most </w:t>
      </w:r>
      <w:r w:rsidR="0066534E" w:rsidRPr="00AE6D2D">
        <w:rPr>
          <w:lang w:val="en-US"/>
        </w:rPr>
        <w:lastRenderedPageBreak/>
        <w:t>resistant</w:t>
      </w:r>
      <w:r w:rsidR="00477B89" w:rsidRPr="00AE6D2D">
        <w:rPr>
          <w:lang w:val="en-US"/>
        </w:rPr>
        <w:t xml:space="preserve"> </w:t>
      </w:r>
      <w:r w:rsidR="0066534E" w:rsidRPr="00AE6D2D">
        <w:rPr>
          <w:lang w:val="en-US"/>
        </w:rPr>
        <w:t>requiring</w:t>
      </w:r>
      <w:r w:rsidR="00477B89" w:rsidRPr="00AE6D2D">
        <w:rPr>
          <w:lang w:val="en-US"/>
        </w:rPr>
        <w:t xml:space="preserve"> higher concentrations</w:t>
      </w:r>
      <w:r w:rsidR="00697C64" w:rsidRPr="00AE6D2D">
        <w:rPr>
          <w:lang w:val="en-US"/>
        </w:rPr>
        <w:t xml:space="preserve">, nevertheless all samples show a </w:t>
      </w:r>
      <w:r w:rsidR="00477B89" w:rsidRPr="00AE6D2D">
        <w:rPr>
          <w:lang w:val="en-US"/>
        </w:rPr>
        <w:t>fungistatic</w:t>
      </w:r>
      <w:r w:rsidR="00697C64" w:rsidRPr="00AE6D2D">
        <w:rPr>
          <w:lang w:val="en-US"/>
        </w:rPr>
        <w:t xml:space="preserve"> effect</w:t>
      </w:r>
      <w:r w:rsidR="00477B89" w:rsidRPr="00AE6D2D">
        <w:rPr>
          <w:lang w:val="en-US"/>
        </w:rPr>
        <w:t xml:space="preserve">. </w:t>
      </w:r>
      <w:r w:rsidR="001A05BC" w:rsidRPr="00AE6D2D">
        <w:rPr>
          <w:lang w:val="en-US"/>
        </w:rPr>
        <w:t>The fungal application on m</w:t>
      </w:r>
      <w:r w:rsidR="0066534E" w:rsidRPr="00AE6D2D">
        <w:rPr>
          <w:lang w:val="en-US"/>
        </w:rPr>
        <w:t>ortars</w:t>
      </w:r>
      <w:r w:rsidR="00697C64" w:rsidRPr="00AE6D2D">
        <w:rPr>
          <w:lang w:val="en-US"/>
        </w:rPr>
        <w:t xml:space="preserve"> specimens</w:t>
      </w:r>
      <w:r w:rsidR="0066534E" w:rsidRPr="00AE6D2D">
        <w:rPr>
          <w:lang w:val="en-US"/>
        </w:rPr>
        <w:t xml:space="preserve">, </w:t>
      </w:r>
      <w:r w:rsidR="001A05BC" w:rsidRPr="00AE6D2D">
        <w:rPr>
          <w:lang w:val="en-US"/>
        </w:rPr>
        <w:t>did not show</w:t>
      </w:r>
      <w:r w:rsidR="00513F71" w:rsidRPr="00AE6D2D">
        <w:rPr>
          <w:lang w:val="en-US"/>
        </w:rPr>
        <w:t xml:space="preserve"> significant changes in color between the initial and final assessments</w:t>
      </w:r>
      <w:r w:rsidR="00691265" w:rsidRPr="00AE6D2D">
        <w:rPr>
          <w:lang w:val="en-US"/>
        </w:rPr>
        <w:t xml:space="preserve">. Generally, open porosity increased </w:t>
      </w:r>
      <w:r w:rsidR="00513F71" w:rsidRPr="00AE6D2D">
        <w:rPr>
          <w:lang w:val="en-US"/>
        </w:rPr>
        <w:t xml:space="preserve">by </w:t>
      </w:r>
      <w:r w:rsidR="00691265" w:rsidRPr="00AE6D2D">
        <w:rPr>
          <w:lang w:val="en-US"/>
        </w:rPr>
        <w:t xml:space="preserve">the end of the treatment, except for CZ-MS. </w:t>
      </w:r>
      <w:r w:rsidR="00513F71" w:rsidRPr="00AE6D2D">
        <w:rPr>
          <w:lang w:val="en-US"/>
        </w:rPr>
        <w:t>An</w:t>
      </w:r>
      <w:r w:rsidR="00691265" w:rsidRPr="00AE6D2D">
        <w:rPr>
          <w:lang w:val="en-US"/>
        </w:rPr>
        <w:t xml:space="preserve"> inverse </w:t>
      </w:r>
      <w:r w:rsidR="00513F71" w:rsidRPr="00AE6D2D">
        <w:rPr>
          <w:lang w:val="en-US"/>
        </w:rPr>
        <w:t xml:space="preserve">relationship was </w:t>
      </w:r>
      <w:r w:rsidR="001A05BC" w:rsidRPr="00AE6D2D">
        <w:rPr>
          <w:lang w:val="en-US"/>
        </w:rPr>
        <w:t>detected</w:t>
      </w:r>
      <w:r w:rsidR="00513F71" w:rsidRPr="00AE6D2D">
        <w:rPr>
          <w:lang w:val="en-US"/>
        </w:rPr>
        <w:t xml:space="preserve"> </w:t>
      </w:r>
      <w:r w:rsidR="00691265" w:rsidRPr="00AE6D2D">
        <w:rPr>
          <w:lang w:val="en-US"/>
        </w:rPr>
        <w:t>between open porosity and ultrasonic</w:t>
      </w:r>
      <w:r w:rsidR="00513F71" w:rsidRPr="00AE6D2D">
        <w:rPr>
          <w:lang w:val="en-US"/>
        </w:rPr>
        <w:t xml:space="preserve"> pulse</w:t>
      </w:r>
      <w:r w:rsidR="00691265" w:rsidRPr="00AE6D2D">
        <w:rPr>
          <w:lang w:val="en-US"/>
        </w:rPr>
        <w:t xml:space="preserve"> velocity</w:t>
      </w:r>
      <w:r w:rsidR="00513F71" w:rsidRPr="00AE6D2D">
        <w:rPr>
          <w:lang w:val="en-US"/>
        </w:rPr>
        <w:t>;</w:t>
      </w:r>
      <w:r w:rsidR="00691265" w:rsidRPr="00AE6D2D">
        <w:rPr>
          <w:lang w:val="en-US"/>
        </w:rPr>
        <w:t xml:space="preserve"> higher porosity corresponds to lower ultrasonic propagation velocity</w:t>
      </w:r>
      <w:r w:rsidR="00513F71" w:rsidRPr="00AE6D2D">
        <w:rPr>
          <w:lang w:val="en-US"/>
        </w:rPr>
        <w:t>,</w:t>
      </w:r>
      <w:r w:rsidR="00691265" w:rsidRPr="00AE6D2D">
        <w:rPr>
          <w:lang w:val="en-US"/>
        </w:rPr>
        <w:t xml:space="preserve"> </w:t>
      </w:r>
      <w:r w:rsidR="00513F71" w:rsidRPr="00AE6D2D">
        <w:rPr>
          <w:lang w:val="en-US"/>
        </w:rPr>
        <w:t>a</w:t>
      </w:r>
      <w:r w:rsidR="00691265" w:rsidRPr="00AE6D2D">
        <w:rPr>
          <w:lang w:val="en-US"/>
        </w:rPr>
        <w:t xml:space="preserve"> trend consistent across both control samples and treated </w:t>
      </w:r>
      <w:r w:rsidR="00513F71" w:rsidRPr="00AE6D2D">
        <w:rPr>
          <w:lang w:val="en-US"/>
        </w:rPr>
        <w:t>mortar samples</w:t>
      </w:r>
      <w:r w:rsidR="00691265" w:rsidRPr="00AE6D2D">
        <w:rPr>
          <w:lang w:val="en-US"/>
        </w:rPr>
        <w:t>.</w:t>
      </w:r>
    </w:p>
    <w:p w14:paraId="6D4E1ED0" w14:textId="34254E1F" w:rsidR="00B84E17" w:rsidRPr="00AE6D2D" w:rsidRDefault="00B84E17" w:rsidP="001065ED">
      <w:pPr>
        <w:pStyle w:val="NormalWeb"/>
        <w:spacing w:before="240" w:beforeAutospacing="0" w:after="0" w:afterAutospacing="0" w:line="276" w:lineRule="auto"/>
        <w:jc w:val="both"/>
        <w:rPr>
          <w:lang w:val="en-US"/>
        </w:rPr>
      </w:pPr>
      <w:r w:rsidRPr="00AE6D2D">
        <w:rPr>
          <w:b/>
          <w:bCs/>
          <w:i/>
          <w:iCs/>
          <w:lang w:val="en-US"/>
        </w:rPr>
        <w:t>Conclusions</w:t>
      </w:r>
      <w:r w:rsidR="00FB569A" w:rsidRPr="00AE6D2D">
        <w:rPr>
          <w:lang w:val="en-US"/>
        </w:rPr>
        <w:t xml:space="preserve">: </w:t>
      </w:r>
      <w:r w:rsidR="0013194E" w:rsidRPr="00AE6D2D">
        <w:rPr>
          <w:lang w:val="en-US"/>
        </w:rPr>
        <w:t xml:space="preserve">The </w:t>
      </w:r>
      <w:r w:rsidR="001A05BC" w:rsidRPr="00AE6D2D">
        <w:rPr>
          <w:lang w:val="en-US"/>
        </w:rPr>
        <w:t xml:space="preserve">different </w:t>
      </w:r>
      <w:r w:rsidR="0013194E" w:rsidRPr="00AE6D2D">
        <w:rPr>
          <w:lang w:val="en-US"/>
        </w:rPr>
        <w:t xml:space="preserve">tested </w:t>
      </w:r>
      <w:r w:rsidR="001A05BC" w:rsidRPr="00AE6D2D">
        <w:rPr>
          <w:lang w:val="en-US"/>
        </w:rPr>
        <w:t xml:space="preserve">nanoparticles </w:t>
      </w:r>
      <w:r w:rsidR="00513F71" w:rsidRPr="00AE6D2D">
        <w:rPr>
          <w:lang w:val="en-US"/>
        </w:rPr>
        <w:t xml:space="preserve">were </w:t>
      </w:r>
      <w:r w:rsidR="0013194E" w:rsidRPr="00AE6D2D">
        <w:rPr>
          <w:lang w:val="en-US"/>
        </w:rPr>
        <w:t xml:space="preserve">effective in inhibiting </w:t>
      </w:r>
      <w:r w:rsidR="00513F71" w:rsidRPr="00AE6D2D">
        <w:rPr>
          <w:lang w:val="en-US"/>
        </w:rPr>
        <w:t xml:space="preserve">fungal </w:t>
      </w:r>
      <w:r w:rsidR="0013194E" w:rsidRPr="00AE6D2D">
        <w:rPr>
          <w:lang w:val="en-US"/>
        </w:rPr>
        <w:t xml:space="preserve">growth, particularly against </w:t>
      </w:r>
      <w:proofErr w:type="spellStart"/>
      <w:r w:rsidR="0013194E" w:rsidRPr="00AE6D2D">
        <w:rPr>
          <w:i/>
          <w:iCs/>
          <w:lang w:val="en-US"/>
        </w:rPr>
        <w:t>Phoma</w:t>
      </w:r>
      <w:proofErr w:type="spellEnd"/>
      <w:r w:rsidR="0013194E" w:rsidRPr="00AE6D2D">
        <w:rPr>
          <w:lang w:val="en-US"/>
        </w:rPr>
        <w:t xml:space="preserve"> sp. and </w:t>
      </w:r>
      <w:proofErr w:type="spellStart"/>
      <w:r w:rsidR="0013194E" w:rsidRPr="00AE6D2D">
        <w:rPr>
          <w:i/>
          <w:iCs/>
          <w:lang w:val="en-US"/>
        </w:rPr>
        <w:t>Scolecobasidium</w:t>
      </w:r>
      <w:proofErr w:type="spellEnd"/>
      <w:r w:rsidR="0013194E" w:rsidRPr="00AE6D2D">
        <w:rPr>
          <w:lang w:val="en-US"/>
        </w:rPr>
        <w:t xml:space="preserve"> sp., w</w:t>
      </w:r>
      <w:r w:rsidR="00513F71" w:rsidRPr="00AE6D2D">
        <w:rPr>
          <w:lang w:val="en-US"/>
        </w:rPr>
        <w:t>here</w:t>
      </w:r>
      <w:r w:rsidR="0013194E" w:rsidRPr="00AE6D2D">
        <w:rPr>
          <w:lang w:val="en-US"/>
        </w:rPr>
        <w:t xml:space="preserve"> CZ displaying fungicidal properties. </w:t>
      </w:r>
      <w:r w:rsidR="00DD024D" w:rsidRPr="00AE6D2D">
        <w:rPr>
          <w:lang w:val="en-US"/>
        </w:rPr>
        <w:t>Despite this</w:t>
      </w:r>
      <w:r w:rsidR="0013194E" w:rsidRPr="00AE6D2D">
        <w:rPr>
          <w:lang w:val="en-US"/>
        </w:rPr>
        <w:t>, CZ w</w:t>
      </w:r>
      <w:r w:rsidR="001A05BC" w:rsidRPr="00AE6D2D">
        <w:rPr>
          <w:lang w:val="en-US"/>
        </w:rPr>
        <w:t>as</w:t>
      </w:r>
      <w:r w:rsidR="0013194E" w:rsidRPr="00AE6D2D">
        <w:rPr>
          <w:lang w:val="en-US"/>
        </w:rPr>
        <w:t xml:space="preserve"> </w:t>
      </w:r>
      <w:r w:rsidR="00DD024D" w:rsidRPr="00AE6D2D">
        <w:rPr>
          <w:lang w:val="en-US"/>
        </w:rPr>
        <w:t>in</w:t>
      </w:r>
      <w:r w:rsidR="0013194E" w:rsidRPr="00AE6D2D">
        <w:rPr>
          <w:lang w:val="en-US"/>
        </w:rPr>
        <w:t xml:space="preserve">effective against </w:t>
      </w:r>
      <w:r w:rsidR="0013194E" w:rsidRPr="00AE6D2D">
        <w:rPr>
          <w:i/>
          <w:iCs/>
          <w:lang w:val="en-US"/>
        </w:rPr>
        <w:t>Fusarium</w:t>
      </w:r>
      <w:r w:rsidR="0013194E" w:rsidRPr="00AE6D2D">
        <w:rPr>
          <w:lang w:val="en-US"/>
        </w:rPr>
        <w:t xml:space="preserve"> sp. </w:t>
      </w:r>
      <w:r w:rsidR="00DD024D" w:rsidRPr="00AE6D2D">
        <w:rPr>
          <w:lang w:val="en-US"/>
        </w:rPr>
        <w:t>B</w:t>
      </w:r>
      <w:r w:rsidR="0013194E" w:rsidRPr="00AE6D2D">
        <w:rPr>
          <w:lang w:val="en-US"/>
        </w:rPr>
        <w:t xml:space="preserve">oth ZnO and commercial antifungals achieved fungicidal results </w:t>
      </w:r>
      <w:r w:rsidR="001A05BC" w:rsidRPr="00AE6D2D">
        <w:rPr>
          <w:lang w:val="en-US"/>
        </w:rPr>
        <w:t>after</w:t>
      </w:r>
      <w:r w:rsidR="0013194E" w:rsidRPr="00AE6D2D">
        <w:rPr>
          <w:lang w:val="en-US"/>
        </w:rPr>
        <w:t xml:space="preserve"> 24 </w:t>
      </w:r>
      <w:r w:rsidR="00DD024D" w:rsidRPr="00AE6D2D">
        <w:rPr>
          <w:lang w:val="en-US"/>
        </w:rPr>
        <w:t>h</w:t>
      </w:r>
      <w:r w:rsidR="0013194E" w:rsidRPr="00AE6D2D">
        <w:rPr>
          <w:lang w:val="en-US"/>
        </w:rPr>
        <w:t xml:space="preserve">, highlighting the primarily fungistatic effect of these </w:t>
      </w:r>
      <w:r w:rsidR="003249B4" w:rsidRPr="00AE6D2D">
        <w:rPr>
          <w:lang w:val="en-US"/>
        </w:rPr>
        <w:t>NP</w:t>
      </w:r>
      <w:r w:rsidR="0013194E" w:rsidRPr="00AE6D2D">
        <w:rPr>
          <w:lang w:val="en-US"/>
        </w:rPr>
        <w:t xml:space="preserve">. </w:t>
      </w:r>
      <w:r w:rsidR="00F53FC1" w:rsidRPr="00AE6D2D">
        <w:rPr>
          <w:lang w:val="en-US"/>
        </w:rPr>
        <w:t xml:space="preserve">The nature and type of </w:t>
      </w:r>
      <w:r w:rsidR="003249B4" w:rsidRPr="00AE6D2D">
        <w:rPr>
          <w:lang w:val="en-US"/>
        </w:rPr>
        <w:t>NP</w:t>
      </w:r>
      <w:r w:rsidR="00F53FC1" w:rsidRPr="00AE6D2D">
        <w:rPr>
          <w:lang w:val="en-US"/>
        </w:rPr>
        <w:t xml:space="preserve"> exert distinct effects on fungi and their modes of action. C</w:t>
      </w:r>
      <w:r w:rsidR="0062778F" w:rsidRPr="00AE6D2D">
        <w:rPr>
          <w:lang w:val="en-US"/>
        </w:rPr>
        <w:t>Z</w:t>
      </w:r>
      <w:r w:rsidR="00F53FC1" w:rsidRPr="00AE6D2D">
        <w:rPr>
          <w:lang w:val="en-US"/>
        </w:rPr>
        <w:t xml:space="preserve"> and ZnO emerge as potential alternatives for controlling fungi</w:t>
      </w:r>
      <w:r w:rsidR="0062778F" w:rsidRPr="00AE6D2D">
        <w:rPr>
          <w:lang w:val="en-US"/>
        </w:rPr>
        <w:t xml:space="preserve">, also the compatibility of CZ with </w:t>
      </w:r>
      <w:r w:rsidR="00DD024D" w:rsidRPr="00AE6D2D">
        <w:rPr>
          <w:lang w:val="en-US"/>
        </w:rPr>
        <w:t>built surfaces</w:t>
      </w:r>
      <w:r w:rsidR="0062778F" w:rsidRPr="00AE6D2D">
        <w:rPr>
          <w:lang w:val="en-US"/>
        </w:rPr>
        <w:t xml:space="preserve"> represents an advantage </w:t>
      </w:r>
      <w:r w:rsidR="00DD024D" w:rsidRPr="00AE6D2D">
        <w:rPr>
          <w:lang w:val="en-US"/>
        </w:rPr>
        <w:t>for applications on the</w:t>
      </w:r>
      <w:r w:rsidR="0062778F" w:rsidRPr="00AE6D2D">
        <w:rPr>
          <w:lang w:val="en-US"/>
        </w:rPr>
        <w:t xml:space="preserve"> </w:t>
      </w:r>
      <w:r w:rsidR="00DD024D" w:rsidRPr="00AE6D2D">
        <w:rPr>
          <w:lang w:val="en-US"/>
        </w:rPr>
        <w:t>construction sector</w:t>
      </w:r>
      <w:r w:rsidR="0062778F" w:rsidRPr="00AE6D2D">
        <w:rPr>
          <w:lang w:val="en-US"/>
        </w:rPr>
        <w:t>.</w:t>
      </w:r>
    </w:p>
    <w:p w14:paraId="141453BF" w14:textId="539014F8" w:rsidR="0013194E" w:rsidRPr="00AE6D2D" w:rsidRDefault="00B84E17" w:rsidP="0013194E">
      <w:pPr>
        <w:pStyle w:val="NormalWeb"/>
        <w:spacing w:after="0" w:afterAutospacing="0" w:line="276" w:lineRule="auto"/>
        <w:jc w:val="both"/>
        <w:rPr>
          <w:b/>
          <w:bCs/>
          <w:lang w:val="en-US"/>
        </w:rPr>
      </w:pPr>
      <w:r w:rsidRPr="00AE6D2D">
        <w:rPr>
          <w:b/>
          <w:bCs/>
          <w:i/>
          <w:iCs/>
          <w:lang w:val="en-US"/>
        </w:rPr>
        <w:t>Acknowledgment</w:t>
      </w:r>
      <w:r w:rsidR="001065ED" w:rsidRPr="00AE6D2D">
        <w:rPr>
          <w:b/>
          <w:bCs/>
          <w:lang w:val="en-US"/>
        </w:rPr>
        <w:t xml:space="preserve">: </w:t>
      </w:r>
      <w:r w:rsidR="0013194E" w:rsidRPr="00AE6D2D">
        <w:rPr>
          <w:lang w:val="en-US"/>
        </w:rPr>
        <w:t xml:space="preserve">Acknowledgments to LANNBIO at CINVESTAV–Unidad Mérida for facilities and equipment, </w:t>
      </w:r>
      <w:proofErr w:type="spellStart"/>
      <w:r w:rsidR="0013194E" w:rsidRPr="00AE6D2D">
        <w:rPr>
          <w:lang w:val="en-US"/>
        </w:rPr>
        <w:t>CONA</w:t>
      </w:r>
      <w:r w:rsidR="001A05BC" w:rsidRPr="00AE6D2D">
        <w:rPr>
          <w:lang w:val="en-US"/>
        </w:rPr>
        <w:t>H</w:t>
      </w:r>
      <w:r w:rsidR="0013194E" w:rsidRPr="00AE6D2D">
        <w:rPr>
          <w:lang w:val="en-US"/>
        </w:rPr>
        <w:t>CyT</w:t>
      </w:r>
      <w:proofErr w:type="spellEnd"/>
      <w:r w:rsidR="0013194E" w:rsidRPr="00AE6D2D">
        <w:rPr>
          <w:lang w:val="en-US"/>
        </w:rPr>
        <w:t xml:space="preserve"> for the fellowship and project CF-2023-I-566, CCYTET for PRODECTI-2022-01/75 support, and the EU's Horizon 2020 for SCORE project funding, grant no. 101007531.</w:t>
      </w:r>
    </w:p>
    <w:p w14:paraId="3371A4A9" w14:textId="03955CC3" w:rsidR="00B84E17" w:rsidRPr="00AE6D2D" w:rsidRDefault="00B84E17" w:rsidP="0013194E">
      <w:pPr>
        <w:pStyle w:val="NormalWeb"/>
        <w:spacing w:after="0" w:afterAutospacing="0" w:line="276" w:lineRule="auto"/>
        <w:jc w:val="both"/>
        <w:rPr>
          <w:b/>
          <w:bCs/>
          <w:lang w:val="en-US"/>
        </w:rPr>
      </w:pPr>
      <w:r w:rsidRPr="00AE6D2D">
        <w:rPr>
          <w:b/>
          <w:bCs/>
          <w:lang w:val="en-US"/>
        </w:rPr>
        <w:t>References</w:t>
      </w:r>
    </w:p>
    <w:p w14:paraId="6CCAD341" w14:textId="67ED8D63" w:rsidR="001065ED" w:rsidRPr="00AE6D2D" w:rsidRDefault="001065ED" w:rsidP="001065ED">
      <w:pPr>
        <w:pStyle w:val="NormalWeb"/>
        <w:spacing w:before="0" w:beforeAutospacing="0" w:after="120" w:afterAutospacing="0"/>
        <w:ind w:left="709" w:hanging="709"/>
        <w:jc w:val="both"/>
        <w:rPr>
          <w:sz w:val="22"/>
          <w:szCs w:val="22"/>
          <w:lang w:val="en-US"/>
        </w:rPr>
      </w:pPr>
      <w:r w:rsidRPr="00AE6D2D">
        <w:rPr>
          <w:sz w:val="22"/>
          <w:szCs w:val="22"/>
          <w:lang w:val="en-US"/>
        </w:rPr>
        <w:t>Askari-</w:t>
      </w:r>
      <w:proofErr w:type="spellStart"/>
      <w:r w:rsidRPr="00AE6D2D">
        <w:rPr>
          <w:sz w:val="22"/>
          <w:szCs w:val="22"/>
          <w:lang w:val="en-US"/>
        </w:rPr>
        <w:t>Dolatabad</w:t>
      </w:r>
      <w:proofErr w:type="spellEnd"/>
      <w:r w:rsidRPr="00AE6D2D">
        <w:rPr>
          <w:sz w:val="22"/>
          <w:szCs w:val="22"/>
          <w:lang w:val="en-US"/>
        </w:rPr>
        <w:t xml:space="preserve">, Y., </w:t>
      </w:r>
      <w:proofErr w:type="spellStart"/>
      <w:r w:rsidRPr="00AE6D2D">
        <w:rPr>
          <w:sz w:val="22"/>
          <w:szCs w:val="22"/>
          <w:lang w:val="en-US"/>
        </w:rPr>
        <w:t>Kamgar</w:t>
      </w:r>
      <w:proofErr w:type="spellEnd"/>
      <w:r w:rsidRPr="00AE6D2D">
        <w:rPr>
          <w:sz w:val="22"/>
          <w:szCs w:val="22"/>
          <w:lang w:val="en-US"/>
        </w:rPr>
        <w:t xml:space="preserve">, R., &amp; </w:t>
      </w:r>
      <w:proofErr w:type="spellStart"/>
      <w:r w:rsidRPr="00AE6D2D">
        <w:rPr>
          <w:sz w:val="22"/>
          <w:szCs w:val="22"/>
          <w:lang w:val="en-US"/>
        </w:rPr>
        <w:t>Gouhari-Nezad</w:t>
      </w:r>
      <w:proofErr w:type="spellEnd"/>
      <w:r w:rsidRPr="00AE6D2D">
        <w:rPr>
          <w:sz w:val="22"/>
          <w:szCs w:val="22"/>
          <w:lang w:val="en-US"/>
        </w:rPr>
        <w:t>, I. (2020) Rheological and mechanical properties, acid resistance and water penetrability of lightweight self-compacting concrete containing nano-SiO2, nano-TiO2 and nano-Al2O3. Iranian Journal of Science and Technology, Transactions of Civil Engineering 44:603–618. https://doi.org/10.1007/s40996-019-00328-1</w:t>
      </w:r>
    </w:p>
    <w:p w14:paraId="6FDE52C4" w14:textId="2F72586A" w:rsidR="001065ED" w:rsidRPr="00AE6D2D" w:rsidRDefault="001065ED" w:rsidP="001065ED">
      <w:pPr>
        <w:pStyle w:val="NormalWeb"/>
        <w:spacing w:before="0" w:beforeAutospacing="0" w:after="120" w:afterAutospacing="0"/>
        <w:ind w:left="709" w:hanging="709"/>
        <w:jc w:val="both"/>
        <w:rPr>
          <w:sz w:val="22"/>
          <w:szCs w:val="22"/>
          <w:lang w:val="en-US"/>
        </w:rPr>
      </w:pPr>
      <w:r w:rsidRPr="00AE6D2D">
        <w:rPr>
          <w:sz w:val="22"/>
          <w:szCs w:val="22"/>
          <w:lang w:val="en-US"/>
        </w:rPr>
        <w:t>Nag, P.K. (2019). Sick Building Syndrome and Other Building-Related Illnesses. In: Office Buildings. Design Science and Innovation. Springer, Singapore. https://doi.org/10.1007/978-981-13-2577-9_3</w:t>
      </w:r>
    </w:p>
    <w:p w14:paraId="577A3768" w14:textId="2A789AFB" w:rsidR="001065ED" w:rsidRDefault="001065ED" w:rsidP="001065ED">
      <w:pPr>
        <w:pStyle w:val="NormalWeb"/>
        <w:spacing w:before="0" w:beforeAutospacing="0" w:after="120" w:afterAutospacing="0"/>
        <w:ind w:left="709" w:hanging="709"/>
        <w:jc w:val="both"/>
        <w:rPr>
          <w:sz w:val="22"/>
          <w:szCs w:val="22"/>
          <w:lang w:val="es-ES"/>
        </w:rPr>
      </w:pPr>
      <w:r w:rsidRPr="00AE6D2D">
        <w:rPr>
          <w:sz w:val="22"/>
          <w:szCs w:val="22"/>
          <w:lang w:val="en-US"/>
        </w:rPr>
        <w:t xml:space="preserve">Vandenberg, A., </w:t>
      </w:r>
      <w:proofErr w:type="spellStart"/>
      <w:r w:rsidRPr="00AE6D2D">
        <w:rPr>
          <w:sz w:val="22"/>
          <w:szCs w:val="22"/>
          <w:lang w:val="en-US"/>
        </w:rPr>
        <w:t>Bessaies</w:t>
      </w:r>
      <w:proofErr w:type="spellEnd"/>
      <w:r w:rsidRPr="00AE6D2D">
        <w:rPr>
          <w:sz w:val="22"/>
          <w:szCs w:val="22"/>
          <w:lang w:val="en-US"/>
        </w:rPr>
        <w:t xml:space="preserve">-Bey, H., Wille, K., &amp; Roussel, N., (2021) Influence of mixing on the generation of nanoparticles in cement systems. </w:t>
      </w:r>
      <w:proofErr w:type="spellStart"/>
      <w:r w:rsidRPr="00AE6D2D">
        <w:rPr>
          <w:sz w:val="22"/>
          <w:szCs w:val="22"/>
          <w:lang w:val="es-ES"/>
        </w:rPr>
        <w:t>Cement</w:t>
      </w:r>
      <w:proofErr w:type="spellEnd"/>
      <w:r w:rsidRPr="00AE6D2D">
        <w:rPr>
          <w:sz w:val="22"/>
          <w:szCs w:val="22"/>
          <w:lang w:val="es-ES"/>
        </w:rPr>
        <w:t xml:space="preserve"> and Concrete </w:t>
      </w:r>
      <w:proofErr w:type="spellStart"/>
      <w:r w:rsidRPr="00AE6D2D">
        <w:rPr>
          <w:sz w:val="22"/>
          <w:szCs w:val="22"/>
          <w:lang w:val="es-ES"/>
        </w:rPr>
        <w:t>Research</w:t>
      </w:r>
      <w:proofErr w:type="spellEnd"/>
      <w:r w:rsidRPr="00AE6D2D">
        <w:rPr>
          <w:sz w:val="22"/>
          <w:szCs w:val="22"/>
          <w:lang w:val="es-ES"/>
        </w:rPr>
        <w:t>. 143: 106379 https://doi.org/10.1016/j.cemconres.2021.106379</w:t>
      </w:r>
    </w:p>
    <w:p w14:paraId="0AC10169" w14:textId="77777777" w:rsidR="001065ED" w:rsidRPr="001065ED" w:rsidRDefault="001065ED" w:rsidP="001065ED">
      <w:pPr>
        <w:pStyle w:val="NormalWeb"/>
        <w:spacing w:before="0" w:beforeAutospacing="0" w:after="120" w:afterAutospacing="0"/>
        <w:ind w:left="709" w:hanging="709"/>
        <w:jc w:val="both"/>
        <w:rPr>
          <w:sz w:val="22"/>
          <w:szCs w:val="22"/>
          <w:lang w:val="es-ES"/>
        </w:rPr>
      </w:pPr>
    </w:p>
    <w:sectPr w:rsidR="001065ED" w:rsidRPr="001065ED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alatinoLinotype-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B9"/>
    <w:rsid w:val="00003413"/>
    <w:rsid w:val="001065ED"/>
    <w:rsid w:val="0013194E"/>
    <w:rsid w:val="0019327D"/>
    <w:rsid w:val="001A05BC"/>
    <w:rsid w:val="001B6A85"/>
    <w:rsid w:val="00246FE1"/>
    <w:rsid w:val="002859EC"/>
    <w:rsid w:val="002E256E"/>
    <w:rsid w:val="0032382F"/>
    <w:rsid w:val="003249B4"/>
    <w:rsid w:val="00440B5E"/>
    <w:rsid w:val="00467EA0"/>
    <w:rsid w:val="00477B89"/>
    <w:rsid w:val="004A2981"/>
    <w:rsid w:val="004F46AB"/>
    <w:rsid w:val="00513F71"/>
    <w:rsid w:val="00554BCD"/>
    <w:rsid w:val="00560683"/>
    <w:rsid w:val="0060443B"/>
    <w:rsid w:val="0062778F"/>
    <w:rsid w:val="0066534E"/>
    <w:rsid w:val="00691265"/>
    <w:rsid w:val="00697C64"/>
    <w:rsid w:val="007C31B9"/>
    <w:rsid w:val="007F5067"/>
    <w:rsid w:val="00910B22"/>
    <w:rsid w:val="00932AB6"/>
    <w:rsid w:val="009668A0"/>
    <w:rsid w:val="00A90E03"/>
    <w:rsid w:val="00AD1780"/>
    <w:rsid w:val="00AE6D2D"/>
    <w:rsid w:val="00B30F45"/>
    <w:rsid w:val="00B72C1D"/>
    <w:rsid w:val="00B84E17"/>
    <w:rsid w:val="00BB0F91"/>
    <w:rsid w:val="00BB5823"/>
    <w:rsid w:val="00BE36F3"/>
    <w:rsid w:val="00C4488E"/>
    <w:rsid w:val="00C62A54"/>
    <w:rsid w:val="00D04764"/>
    <w:rsid w:val="00DD024D"/>
    <w:rsid w:val="00DD592C"/>
    <w:rsid w:val="00E62AED"/>
    <w:rsid w:val="00E63600"/>
    <w:rsid w:val="00EB2635"/>
    <w:rsid w:val="00F1472A"/>
    <w:rsid w:val="00F53FC1"/>
    <w:rsid w:val="00FB569A"/>
    <w:rsid w:val="00FD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1377"/>
  <w15:chartTrackingRefBased/>
  <w15:docId w15:val="{634E4DB6-1090-4BF0-8499-423752BAD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1B9"/>
    <w:pPr>
      <w:spacing w:line="256" w:lineRule="auto"/>
    </w:pPr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3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nchor-text">
    <w:name w:val="anchor-text"/>
    <w:basedOn w:val="Fuentedeprrafopredeter"/>
    <w:rsid w:val="001B6A85"/>
  </w:style>
  <w:style w:type="character" w:styleId="Hipervnculo">
    <w:name w:val="Hyperlink"/>
    <w:basedOn w:val="Fuentedeprrafopredeter"/>
    <w:uiPriority w:val="99"/>
    <w:unhideWhenUsed/>
    <w:rsid w:val="00A90E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90E0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DD02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024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024D"/>
    <w:rPr>
      <w:kern w:val="0"/>
      <w:sz w:val="20"/>
      <w:szCs w:val="20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02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024D"/>
    <w:rPr>
      <w:b/>
      <w:bCs/>
      <w:kern w:val="0"/>
      <w:sz w:val="20"/>
      <w:szCs w:val="20"/>
      <w14:ligatures w14:val="none"/>
    </w:rPr>
  </w:style>
  <w:style w:type="paragraph" w:styleId="Revisin">
    <w:name w:val="Revision"/>
    <w:hidden/>
    <w:uiPriority w:val="99"/>
    <w:semiHidden/>
    <w:rsid w:val="003249B4"/>
    <w:pPr>
      <w:spacing w:after="0" w:line="240" w:lineRule="auto"/>
    </w:pPr>
    <w:rPr>
      <w:kern w:val="0"/>
      <w14:ligatures w14:val="none"/>
    </w:rPr>
  </w:style>
  <w:style w:type="paragraph" w:customStyle="1" w:styleId="Default">
    <w:name w:val="Default"/>
    <w:rsid w:val="00DD592C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0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4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2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Stephania Guadalupe Lázaro Maas</dc:creator>
  <cp:keywords/>
  <dc:description/>
  <cp:lastModifiedBy>Stephania Guadalupe Lázaro Maas</cp:lastModifiedBy>
  <cp:revision>2</cp:revision>
  <dcterms:created xsi:type="dcterms:W3CDTF">2024-06-21T18:56:00Z</dcterms:created>
  <dcterms:modified xsi:type="dcterms:W3CDTF">2024-06-21T18:56:00Z</dcterms:modified>
</cp:coreProperties>
</file>