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0D8" w:rsidRPr="008F58EB" w:rsidRDefault="00C820D8" w:rsidP="0035412E">
      <w:pPr>
        <w:pStyle w:val="BodyText"/>
        <w:jc w:val="both"/>
        <w:rPr>
          <w:rFonts w:ascii="Arial"/>
          <w:b/>
          <w:bCs/>
          <w:sz w:val="22"/>
          <w:szCs w:val="20"/>
        </w:rPr>
      </w:pPr>
      <w:r w:rsidRPr="008F58EB">
        <w:rPr>
          <w:rFonts w:ascii="Arial"/>
          <w:b/>
          <w:bCs/>
          <w:sz w:val="36"/>
          <w:szCs w:val="32"/>
        </w:rPr>
        <w:t xml:space="preserve">Using phage display technique to isolate </w:t>
      </w:r>
      <w:r w:rsidR="0035412E" w:rsidRPr="008F58EB">
        <w:rPr>
          <w:rFonts w:ascii="Arial"/>
          <w:b/>
          <w:bCs/>
          <w:sz w:val="36"/>
          <w:szCs w:val="32"/>
        </w:rPr>
        <w:t>antibody fragment for</w:t>
      </w:r>
      <w:r w:rsidRPr="008F58EB">
        <w:rPr>
          <w:rFonts w:ascii="Arial"/>
          <w:b/>
          <w:bCs/>
          <w:sz w:val="36"/>
          <w:szCs w:val="32"/>
        </w:rPr>
        <w:t xml:space="preserve"> </w:t>
      </w:r>
      <w:r w:rsidR="00CC32D6" w:rsidRPr="008F58EB">
        <w:rPr>
          <w:rFonts w:ascii="Arial"/>
          <w:b/>
          <w:bCs/>
          <w:sz w:val="36"/>
          <w:szCs w:val="32"/>
        </w:rPr>
        <w:t xml:space="preserve">brain </w:t>
      </w:r>
      <w:proofErr w:type="spellStart"/>
      <w:r w:rsidR="00175540" w:rsidRPr="008F58EB">
        <w:rPr>
          <w:rFonts w:ascii="Arial"/>
          <w:b/>
          <w:bCs/>
          <w:sz w:val="36"/>
          <w:szCs w:val="32"/>
        </w:rPr>
        <w:t>tumo</w:t>
      </w:r>
      <w:r w:rsidR="00175540">
        <w:rPr>
          <w:rFonts w:ascii="Arial"/>
          <w:b/>
          <w:bCs/>
          <w:sz w:val="36"/>
          <w:szCs w:val="32"/>
        </w:rPr>
        <w:t>u</w:t>
      </w:r>
      <w:r w:rsidR="00175540" w:rsidRPr="008F58EB">
        <w:rPr>
          <w:rFonts w:ascii="Arial"/>
          <w:b/>
          <w:bCs/>
          <w:sz w:val="36"/>
          <w:szCs w:val="32"/>
        </w:rPr>
        <w:t>r</w:t>
      </w:r>
      <w:proofErr w:type="spellEnd"/>
      <w:r w:rsidR="006A777A" w:rsidRPr="008F58EB">
        <w:rPr>
          <w:rFonts w:ascii="Arial"/>
          <w:b/>
          <w:bCs/>
          <w:sz w:val="36"/>
          <w:szCs w:val="32"/>
        </w:rPr>
        <w:t xml:space="preserve"> cell surface marker</w:t>
      </w:r>
      <w:r w:rsidRPr="008F58EB">
        <w:rPr>
          <w:rFonts w:ascii="Arial"/>
          <w:b/>
          <w:bCs/>
          <w:sz w:val="36"/>
          <w:szCs w:val="32"/>
        </w:rPr>
        <w:t xml:space="preserve"> </w:t>
      </w:r>
    </w:p>
    <w:p w:rsidR="00C820D8" w:rsidRPr="00C820D8" w:rsidRDefault="00C820D8" w:rsidP="00F95976">
      <w:pPr>
        <w:pStyle w:val="BodyText"/>
        <w:jc w:val="both"/>
        <w:rPr>
          <w:rFonts w:ascii="Arial"/>
          <w:sz w:val="22"/>
          <w:szCs w:val="20"/>
        </w:rPr>
      </w:pPr>
    </w:p>
    <w:p w:rsidR="00F95976" w:rsidRPr="00F95976" w:rsidRDefault="00F95976" w:rsidP="00175A7B">
      <w:pPr>
        <w:pStyle w:val="BodyText"/>
        <w:jc w:val="both"/>
        <w:rPr>
          <w:rFonts w:ascii="Arial"/>
          <w:szCs w:val="16"/>
        </w:rPr>
      </w:pPr>
      <w:r w:rsidRPr="00F95976">
        <w:rPr>
          <w:rFonts w:ascii="Arial"/>
          <w:szCs w:val="16"/>
        </w:rPr>
        <w:t xml:space="preserve">Arghavan Golbaz Hagh, PhD </w:t>
      </w:r>
      <w:r w:rsidR="00175A7B">
        <w:rPr>
          <w:rFonts w:ascii="Arial"/>
          <w:szCs w:val="16"/>
        </w:rPr>
        <w:t>candidate,</w:t>
      </w:r>
      <w:r w:rsidRPr="00F95976">
        <w:rPr>
          <w:rFonts w:ascii="Arial"/>
          <w:szCs w:val="16"/>
        </w:rPr>
        <w:t xml:space="preserve"> AIBN, Australia</w:t>
      </w:r>
    </w:p>
    <w:p w:rsidR="00F95976" w:rsidRPr="00F95976" w:rsidRDefault="00F95976" w:rsidP="00446859">
      <w:pPr>
        <w:pStyle w:val="BodyText"/>
        <w:jc w:val="both"/>
        <w:rPr>
          <w:rFonts w:ascii="Arial"/>
          <w:szCs w:val="16"/>
        </w:rPr>
      </w:pPr>
      <w:r w:rsidRPr="00F95976">
        <w:rPr>
          <w:rFonts w:ascii="Arial"/>
          <w:szCs w:val="16"/>
        </w:rPr>
        <w:t>Martina Jones, PhD</w:t>
      </w:r>
      <w:r>
        <w:rPr>
          <w:rFonts w:ascii="Arial"/>
          <w:szCs w:val="16"/>
        </w:rPr>
        <w:t>,</w:t>
      </w:r>
      <w:r w:rsidR="00D32AD7">
        <w:rPr>
          <w:rFonts w:ascii="Arial"/>
          <w:szCs w:val="16"/>
        </w:rPr>
        <w:t xml:space="preserve"> </w:t>
      </w:r>
      <w:r w:rsidR="00446859">
        <w:rPr>
          <w:rFonts w:ascii="Arial"/>
          <w:szCs w:val="16"/>
        </w:rPr>
        <w:t>NBF,</w:t>
      </w:r>
      <w:r w:rsidR="00446859" w:rsidRPr="00446859">
        <w:rPr>
          <w:rFonts w:ascii="Arial" w:hAnsi="Arial" w:cs="Arial"/>
          <w:color w:val="51247A"/>
        </w:rPr>
        <w:t xml:space="preserve"> </w:t>
      </w:r>
      <w:r w:rsidR="00446859" w:rsidRPr="00446859">
        <w:rPr>
          <w:rFonts w:ascii="Arial"/>
          <w:szCs w:val="16"/>
        </w:rPr>
        <w:t>ARC Training Centre for Biopharmaceutical Innovation</w:t>
      </w:r>
      <w:r w:rsidR="00446859">
        <w:rPr>
          <w:rFonts w:ascii="Arial"/>
          <w:szCs w:val="16"/>
        </w:rPr>
        <w:t>, Australia</w:t>
      </w:r>
    </w:p>
    <w:p w:rsidR="00F95976" w:rsidRPr="00F95976" w:rsidRDefault="00F95976" w:rsidP="00F95976">
      <w:pPr>
        <w:pStyle w:val="BodyText"/>
        <w:jc w:val="both"/>
        <w:rPr>
          <w:rFonts w:ascii="Arial"/>
          <w:szCs w:val="16"/>
        </w:rPr>
      </w:pPr>
      <w:r w:rsidRPr="00F95976">
        <w:rPr>
          <w:rFonts w:ascii="Arial"/>
          <w:szCs w:val="16"/>
        </w:rPr>
        <w:t xml:space="preserve">Simon </w:t>
      </w:r>
      <w:proofErr w:type="spellStart"/>
      <w:r w:rsidRPr="00F95976">
        <w:rPr>
          <w:rFonts w:ascii="Arial"/>
          <w:szCs w:val="16"/>
        </w:rPr>
        <w:t>Puttick</w:t>
      </w:r>
      <w:proofErr w:type="spellEnd"/>
      <w:r w:rsidRPr="00F95976">
        <w:rPr>
          <w:rFonts w:ascii="Arial"/>
          <w:szCs w:val="16"/>
        </w:rPr>
        <w:t>, PhD</w:t>
      </w:r>
      <w:r>
        <w:rPr>
          <w:rFonts w:ascii="Arial"/>
          <w:szCs w:val="16"/>
        </w:rPr>
        <w:t>,</w:t>
      </w:r>
      <w:r w:rsidR="008742C8">
        <w:rPr>
          <w:rFonts w:ascii="Arial"/>
          <w:szCs w:val="16"/>
        </w:rPr>
        <w:t xml:space="preserve"> CSIRO, Australia</w:t>
      </w:r>
    </w:p>
    <w:p w:rsidR="00F95976" w:rsidRDefault="00F95976" w:rsidP="00446859">
      <w:pPr>
        <w:pStyle w:val="BodyText"/>
        <w:jc w:val="both"/>
        <w:rPr>
          <w:rFonts w:ascii="Arial"/>
          <w:szCs w:val="16"/>
        </w:rPr>
      </w:pPr>
      <w:r w:rsidRPr="00F95976">
        <w:rPr>
          <w:rFonts w:ascii="Arial"/>
          <w:szCs w:val="16"/>
        </w:rPr>
        <w:t>Chris Howard, PhD</w:t>
      </w:r>
      <w:r w:rsidR="00446859">
        <w:rPr>
          <w:rFonts w:ascii="Arial"/>
          <w:szCs w:val="16"/>
        </w:rPr>
        <w:t>,</w:t>
      </w:r>
      <w:r w:rsidR="00446859" w:rsidRPr="00446859">
        <w:rPr>
          <w:rFonts w:ascii="Arial" w:hAnsi="Arial" w:cs="Arial"/>
          <w:color w:val="51247A"/>
        </w:rPr>
        <w:t xml:space="preserve"> </w:t>
      </w:r>
      <w:r w:rsidR="00446859" w:rsidRPr="00446859">
        <w:rPr>
          <w:rFonts w:ascii="Arial"/>
          <w:szCs w:val="16"/>
        </w:rPr>
        <w:t>ARC Training Centre for Biopharmaceutical Innovation</w:t>
      </w:r>
      <w:r w:rsidR="00446859">
        <w:rPr>
          <w:rFonts w:ascii="Arial"/>
          <w:szCs w:val="16"/>
        </w:rPr>
        <w:t>, Australia</w:t>
      </w:r>
    </w:p>
    <w:p w:rsidR="00F95976" w:rsidRPr="00F95976" w:rsidRDefault="00F95976" w:rsidP="008742C8">
      <w:pPr>
        <w:pStyle w:val="BodyText"/>
        <w:jc w:val="both"/>
        <w:rPr>
          <w:rFonts w:ascii="Arial"/>
          <w:szCs w:val="16"/>
        </w:rPr>
      </w:pPr>
      <w:r w:rsidRPr="00F95976">
        <w:rPr>
          <w:rFonts w:ascii="Arial"/>
          <w:szCs w:val="16"/>
        </w:rPr>
        <w:t>Stephen Rose, Prof</w:t>
      </w:r>
      <w:r>
        <w:rPr>
          <w:rFonts w:ascii="Arial"/>
          <w:szCs w:val="16"/>
        </w:rPr>
        <w:t>,</w:t>
      </w:r>
      <w:r w:rsidR="008742C8">
        <w:rPr>
          <w:rFonts w:ascii="Arial"/>
          <w:szCs w:val="16"/>
        </w:rPr>
        <w:t xml:space="preserve"> CSIRO, Australia</w:t>
      </w:r>
    </w:p>
    <w:p w:rsidR="00AE3E37" w:rsidRPr="00F95976" w:rsidRDefault="00F95976" w:rsidP="00446859">
      <w:pPr>
        <w:pStyle w:val="BodyText"/>
        <w:jc w:val="both"/>
        <w:rPr>
          <w:rFonts w:ascii="Arial"/>
          <w:szCs w:val="16"/>
        </w:rPr>
      </w:pPr>
      <w:r w:rsidRPr="00F95976">
        <w:rPr>
          <w:rFonts w:ascii="Arial"/>
          <w:szCs w:val="16"/>
        </w:rPr>
        <w:t>Stephen Mahler, Prof</w:t>
      </w:r>
      <w:r>
        <w:rPr>
          <w:rFonts w:ascii="Arial"/>
          <w:szCs w:val="16"/>
        </w:rPr>
        <w:t>,</w:t>
      </w:r>
      <w:r w:rsidR="00D32AD7">
        <w:rPr>
          <w:rFonts w:ascii="Arial"/>
          <w:szCs w:val="16"/>
        </w:rPr>
        <w:t xml:space="preserve"> </w:t>
      </w:r>
      <w:r w:rsidR="00446859">
        <w:rPr>
          <w:rFonts w:ascii="Arial"/>
          <w:szCs w:val="16"/>
        </w:rPr>
        <w:t>NBF</w:t>
      </w:r>
      <w:r w:rsidR="00D32AD7">
        <w:rPr>
          <w:rFonts w:ascii="Arial"/>
          <w:szCs w:val="16"/>
        </w:rPr>
        <w:t>,</w:t>
      </w:r>
      <w:r w:rsidR="00446859" w:rsidRPr="00446859">
        <w:rPr>
          <w:rFonts w:ascii="Arial" w:hAnsi="Arial" w:cs="Arial"/>
          <w:color w:val="51247A"/>
        </w:rPr>
        <w:t xml:space="preserve"> </w:t>
      </w:r>
      <w:r w:rsidR="00446859" w:rsidRPr="00446859">
        <w:rPr>
          <w:rFonts w:ascii="Arial"/>
          <w:szCs w:val="16"/>
        </w:rPr>
        <w:t>ARC Training Centre for Biopharmaceutical Innovation</w:t>
      </w:r>
      <w:r w:rsidR="00446859">
        <w:rPr>
          <w:rFonts w:ascii="Arial"/>
          <w:szCs w:val="16"/>
        </w:rPr>
        <w:t>, Australia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F95976">
      <w:pPr>
        <w:pStyle w:val="Heading3"/>
        <w:spacing w:before="147"/>
        <w:jc w:val="both"/>
      </w:pPr>
      <w:r>
        <w:rPr>
          <w:color w:val="BF5A14"/>
        </w:rPr>
        <w:t>Abstract</w:t>
      </w:r>
      <w:r w:rsidR="00404E5B">
        <w:rPr>
          <w:color w:val="BF5A14"/>
        </w:rPr>
        <w:t xml:space="preserve"> </w:t>
      </w:r>
    </w:p>
    <w:p w:rsidR="000D2BBC" w:rsidRPr="008F58EB" w:rsidRDefault="00CC32D6" w:rsidP="00F208A9">
      <w:pPr>
        <w:jc w:val="both"/>
        <w:rPr>
          <w:rFonts w:cstheme="majorBidi"/>
          <w:sz w:val="20"/>
          <w:szCs w:val="20"/>
          <w:lang w:val="en-CA"/>
        </w:rPr>
      </w:pPr>
      <w:r w:rsidRPr="008F58EB">
        <w:rPr>
          <w:rFonts w:cstheme="majorBidi"/>
          <w:sz w:val="20"/>
          <w:szCs w:val="20"/>
        </w:rPr>
        <w:t xml:space="preserve">One of </w:t>
      </w:r>
      <w:r w:rsidR="00EF7F41" w:rsidRPr="008F58EB">
        <w:rPr>
          <w:rFonts w:cstheme="majorBidi"/>
          <w:sz w:val="20"/>
          <w:szCs w:val="20"/>
        </w:rPr>
        <w:t xml:space="preserve">the most significant </w:t>
      </w:r>
      <w:r w:rsidRPr="008F58EB">
        <w:rPr>
          <w:rFonts w:cstheme="majorBidi"/>
          <w:sz w:val="20"/>
          <w:szCs w:val="20"/>
        </w:rPr>
        <w:t>challenges of all time in medicine has been finding a cure for brain cancer</w:t>
      </w:r>
      <w:r w:rsidR="00EF7F41" w:rsidRPr="008F58EB">
        <w:rPr>
          <w:rFonts w:cstheme="majorBidi"/>
          <w:sz w:val="20"/>
          <w:szCs w:val="20"/>
        </w:rPr>
        <w:t>,</w:t>
      </w:r>
      <w:r w:rsidRPr="008F58EB">
        <w:rPr>
          <w:rFonts w:cstheme="majorBidi"/>
          <w:sz w:val="20"/>
          <w:szCs w:val="20"/>
        </w:rPr>
        <w:t xml:space="preserve"> which there is great hope to be accomplished through </w:t>
      </w:r>
      <w:proofErr w:type="spellStart"/>
      <w:r w:rsidRPr="008F58EB">
        <w:rPr>
          <w:rFonts w:cstheme="majorBidi"/>
          <w:sz w:val="20"/>
          <w:szCs w:val="20"/>
        </w:rPr>
        <w:t>Nanobiotechnology</w:t>
      </w:r>
      <w:proofErr w:type="spellEnd"/>
      <w:r w:rsidRPr="008F58EB">
        <w:rPr>
          <w:rFonts w:cstheme="majorBidi"/>
          <w:sz w:val="20"/>
          <w:szCs w:val="20"/>
        </w:rPr>
        <w:t xml:space="preserve"> techniques and immune-modulators.</w:t>
      </w:r>
      <w:r w:rsidR="000B2351" w:rsidRPr="008F58EB">
        <w:rPr>
          <w:rFonts w:cstheme="majorBidi"/>
          <w:sz w:val="20"/>
          <w:szCs w:val="20"/>
        </w:rPr>
        <w:t xml:space="preserve"> </w:t>
      </w:r>
      <w:r w:rsidR="00F95976" w:rsidRPr="008F58EB">
        <w:rPr>
          <w:sz w:val="20"/>
          <w:szCs w:val="20"/>
        </w:rPr>
        <w:t xml:space="preserve">Primary brain </w:t>
      </w:r>
      <w:proofErr w:type="spellStart"/>
      <w:r w:rsidR="00F95976" w:rsidRPr="008F58EB">
        <w:rPr>
          <w:sz w:val="20"/>
          <w:szCs w:val="20"/>
        </w:rPr>
        <w:t>tumo</w:t>
      </w:r>
      <w:r w:rsidR="00EF7F41" w:rsidRPr="008F58EB">
        <w:rPr>
          <w:sz w:val="20"/>
          <w:szCs w:val="20"/>
        </w:rPr>
        <w:t>u</w:t>
      </w:r>
      <w:r w:rsidR="00F95976" w:rsidRPr="008F58EB">
        <w:rPr>
          <w:sz w:val="20"/>
          <w:szCs w:val="20"/>
        </w:rPr>
        <w:t>rs</w:t>
      </w:r>
      <w:proofErr w:type="spellEnd"/>
      <w:r w:rsidR="00F95976" w:rsidRPr="008F58EB">
        <w:rPr>
          <w:sz w:val="20"/>
          <w:szCs w:val="20"/>
        </w:rPr>
        <w:t xml:space="preserve"> account for 1-2% of all diagnosed cancers in Australian adults and 9% of all cancers in </w:t>
      </w:r>
      <w:r w:rsidR="00EF7F41" w:rsidRPr="008F58EB">
        <w:rPr>
          <w:sz w:val="20"/>
          <w:szCs w:val="20"/>
        </w:rPr>
        <w:t xml:space="preserve">young </w:t>
      </w:r>
      <w:r w:rsidR="00F95976" w:rsidRPr="008F58EB">
        <w:rPr>
          <w:sz w:val="20"/>
          <w:szCs w:val="20"/>
        </w:rPr>
        <w:t>Australian people</w:t>
      </w:r>
      <w:r w:rsidR="00AE26EA" w:rsidRPr="008F58EB">
        <w:rPr>
          <w:sz w:val="20"/>
          <w:szCs w:val="20"/>
        </w:rPr>
        <w:t xml:space="preserve"> (</w:t>
      </w:r>
      <w:r w:rsidR="00F95976" w:rsidRPr="008F58EB">
        <w:rPr>
          <w:sz w:val="20"/>
          <w:szCs w:val="20"/>
        </w:rPr>
        <w:t>1</w:t>
      </w:r>
      <w:r w:rsidR="00AE26EA" w:rsidRPr="008F58EB">
        <w:rPr>
          <w:sz w:val="20"/>
          <w:szCs w:val="20"/>
        </w:rPr>
        <w:t>)</w:t>
      </w:r>
      <w:r w:rsidR="00F95976" w:rsidRPr="008F58EB">
        <w:rPr>
          <w:sz w:val="20"/>
          <w:szCs w:val="20"/>
        </w:rPr>
        <w:t>. Despite many advances in brain cancer treatments, the prognosis remains poor with median survival rates of less than 15 months</w:t>
      </w:r>
      <w:r w:rsidR="0007714E" w:rsidRPr="008F58EB">
        <w:rPr>
          <w:sz w:val="20"/>
          <w:szCs w:val="20"/>
        </w:rPr>
        <w:t xml:space="preserve"> after diagnosis</w:t>
      </w:r>
      <w:r w:rsidR="00AE26EA" w:rsidRPr="008F58EB">
        <w:rPr>
          <w:sz w:val="20"/>
          <w:szCs w:val="20"/>
        </w:rPr>
        <w:t xml:space="preserve"> (</w:t>
      </w:r>
      <w:r w:rsidR="00F95976" w:rsidRPr="008F58EB">
        <w:rPr>
          <w:sz w:val="20"/>
          <w:szCs w:val="20"/>
        </w:rPr>
        <w:t>2</w:t>
      </w:r>
      <w:r w:rsidR="00AE26EA" w:rsidRPr="008F58EB">
        <w:rPr>
          <w:sz w:val="20"/>
          <w:szCs w:val="20"/>
        </w:rPr>
        <w:t>)</w:t>
      </w:r>
      <w:r w:rsidR="00F95976" w:rsidRPr="008F58EB">
        <w:rPr>
          <w:sz w:val="20"/>
          <w:szCs w:val="20"/>
        </w:rPr>
        <w:t xml:space="preserve">. Research has actively focused on </w:t>
      </w:r>
      <w:r w:rsidR="00EF7F41" w:rsidRPr="008F58EB">
        <w:rPr>
          <w:sz w:val="20"/>
          <w:szCs w:val="20"/>
        </w:rPr>
        <w:t xml:space="preserve">the </w:t>
      </w:r>
      <w:r w:rsidR="00374EAF" w:rsidRPr="008F58EB">
        <w:rPr>
          <w:sz w:val="20"/>
          <w:szCs w:val="20"/>
        </w:rPr>
        <w:t xml:space="preserve">discovery and subsequent engineering of </w:t>
      </w:r>
      <w:r w:rsidR="00606521" w:rsidRPr="008F58EB">
        <w:rPr>
          <w:sz w:val="20"/>
          <w:szCs w:val="20"/>
        </w:rPr>
        <w:t>novel monoclonal towards a particular target.</w:t>
      </w:r>
      <w:r w:rsidR="00F95976" w:rsidRPr="008F58EB">
        <w:rPr>
          <w:sz w:val="20"/>
          <w:szCs w:val="20"/>
        </w:rPr>
        <w:t xml:space="preserve"> Antibodies are very attractive potential </w:t>
      </w:r>
      <w:proofErr w:type="spellStart"/>
      <w:r w:rsidR="00F95976" w:rsidRPr="008F58EB">
        <w:rPr>
          <w:sz w:val="20"/>
          <w:szCs w:val="20"/>
        </w:rPr>
        <w:t>theranostics</w:t>
      </w:r>
      <w:proofErr w:type="spellEnd"/>
      <w:r w:rsidR="00F95976" w:rsidRPr="008F58EB">
        <w:rPr>
          <w:sz w:val="20"/>
          <w:szCs w:val="20"/>
        </w:rPr>
        <w:t xml:space="preserve"> agents as they are highly specific and easily functionalized</w:t>
      </w:r>
      <w:r w:rsidR="00AE26EA" w:rsidRPr="008F58EB">
        <w:rPr>
          <w:sz w:val="20"/>
          <w:szCs w:val="20"/>
        </w:rPr>
        <w:t xml:space="preserve"> (3)</w:t>
      </w:r>
      <w:r w:rsidR="00E16A16" w:rsidRPr="008F58EB">
        <w:rPr>
          <w:sz w:val="20"/>
          <w:szCs w:val="20"/>
        </w:rPr>
        <w:t>.</w:t>
      </w:r>
      <w:r w:rsidR="00DB416C" w:rsidRPr="008F58EB">
        <w:rPr>
          <w:sz w:val="20"/>
          <w:szCs w:val="20"/>
        </w:rPr>
        <w:t xml:space="preserve"> </w:t>
      </w:r>
      <w:r w:rsidR="00E16A16" w:rsidRPr="008F58EB">
        <w:rPr>
          <w:sz w:val="20"/>
          <w:szCs w:val="20"/>
        </w:rPr>
        <w:t xml:space="preserve">The EphA2 tyrosine kinase receptor has been identified as a glioblastoma cell surface </w:t>
      </w:r>
      <w:r w:rsidR="003363B8" w:rsidRPr="008F58EB">
        <w:rPr>
          <w:sz w:val="20"/>
          <w:szCs w:val="20"/>
        </w:rPr>
        <w:t>marker</w:t>
      </w:r>
      <w:r w:rsidR="00167720" w:rsidRPr="008F58EB">
        <w:rPr>
          <w:sz w:val="20"/>
          <w:szCs w:val="20"/>
        </w:rPr>
        <w:t xml:space="preserve"> </w:t>
      </w:r>
      <w:r w:rsidR="003363B8" w:rsidRPr="008F58EB">
        <w:rPr>
          <w:sz w:val="20"/>
          <w:szCs w:val="20"/>
        </w:rPr>
        <w:t>(</w:t>
      </w:r>
      <w:r w:rsidR="00167720" w:rsidRPr="008F58EB">
        <w:rPr>
          <w:sz w:val="20"/>
          <w:szCs w:val="20"/>
        </w:rPr>
        <w:t>4</w:t>
      </w:r>
      <w:r w:rsidR="00E16A16" w:rsidRPr="008F58EB">
        <w:rPr>
          <w:sz w:val="20"/>
          <w:szCs w:val="20"/>
        </w:rPr>
        <w:t>)</w:t>
      </w:r>
      <w:r w:rsidR="003363B8" w:rsidRPr="008F58EB">
        <w:rPr>
          <w:sz w:val="20"/>
          <w:szCs w:val="20"/>
        </w:rPr>
        <w:t xml:space="preserve"> </w:t>
      </w:r>
      <w:r w:rsidR="00E16A16" w:rsidRPr="008F58EB">
        <w:rPr>
          <w:sz w:val="20"/>
          <w:szCs w:val="20"/>
        </w:rPr>
        <w:t>and</w:t>
      </w:r>
      <w:r w:rsidR="00F95976" w:rsidRPr="008F58EB">
        <w:rPr>
          <w:sz w:val="20"/>
          <w:szCs w:val="20"/>
        </w:rPr>
        <w:t xml:space="preserve"> has been shown </w:t>
      </w:r>
      <w:r w:rsidR="00F208A9">
        <w:rPr>
          <w:sz w:val="20"/>
          <w:szCs w:val="20"/>
        </w:rPr>
        <w:t>the overexpression of this</w:t>
      </w:r>
      <w:r w:rsidR="00E16A16" w:rsidRPr="008F58EB">
        <w:rPr>
          <w:sz w:val="20"/>
          <w:szCs w:val="20"/>
        </w:rPr>
        <w:t xml:space="preserve"> receptor</w:t>
      </w:r>
      <w:r w:rsidR="00F95976" w:rsidRPr="008F58EB">
        <w:rPr>
          <w:sz w:val="20"/>
          <w:szCs w:val="20"/>
        </w:rPr>
        <w:t xml:space="preserve"> in </w:t>
      </w:r>
      <w:r w:rsidR="00DB416C" w:rsidRPr="008F58EB">
        <w:rPr>
          <w:sz w:val="20"/>
          <w:szCs w:val="20"/>
        </w:rPr>
        <w:t>several</w:t>
      </w:r>
      <w:r w:rsidR="00F95976" w:rsidRPr="008F58EB">
        <w:rPr>
          <w:sz w:val="20"/>
          <w:szCs w:val="20"/>
        </w:rPr>
        <w:t xml:space="preserve"> </w:t>
      </w:r>
      <w:r w:rsidR="003363B8" w:rsidRPr="008F58EB">
        <w:rPr>
          <w:sz w:val="20"/>
          <w:szCs w:val="20"/>
        </w:rPr>
        <w:t>tumors</w:t>
      </w:r>
      <w:r w:rsidR="00F95976" w:rsidRPr="008F58EB">
        <w:rPr>
          <w:sz w:val="20"/>
          <w:szCs w:val="20"/>
        </w:rPr>
        <w:t>, including glioblastoma</w:t>
      </w:r>
      <w:r w:rsidR="007574CA" w:rsidRPr="008F58EB">
        <w:rPr>
          <w:sz w:val="20"/>
          <w:szCs w:val="20"/>
        </w:rPr>
        <w:t xml:space="preserve"> </w:t>
      </w:r>
      <w:r w:rsidR="00C65B8F" w:rsidRPr="008F58EB">
        <w:rPr>
          <w:sz w:val="20"/>
          <w:szCs w:val="20"/>
        </w:rPr>
        <w:t>(</w:t>
      </w:r>
      <w:r w:rsidR="00F15D4C" w:rsidRPr="008F58EB">
        <w:rPr>
          <w:sz w:val="20"/>
          <w:szCs w:val="20"/>
        </w:rPr>
        <w:t>5</w:t>
      </w:r>
      <w:r w:rsidR="00C65B8F" w:rsidRPr="008F58EB">
        <w:rPr>
          <w:sz w:val="20"/>
          <w:szCs w:val="20"/>
        </w:rPr>
        <w:t>)</w:t>
      </w:r>
      <w:r w:rsidR="004A1A5C" w:rsidRPr="008F58EB">
        <w:rPr>
          <w:sz w:val="20"/>
          <w:szCs w:val="20"/>
        </w:rPr>
        <w:t>.</w:t>
      </w:r>
      <w:r w:rsidR="00606521" w:rsidRPr="008F58EB">
        <w:rPr>
          <w:sz w:val="20"/>
          <w:szCs w:val="20"/>
        </w:rPr>
        <w:t xml:space="preserve"> </w:t>
      </w:r>
      <w:r w:rsidR="00F95976" w:rsidRPr="008F58EB">
        <w:rPr>
          <w:sz w:val="20"/>
          <w:szCs w:val="20"/>
        </w:rPr>
        <w:t>The expression level of Eph</w:t>
      </w:r>
      <w:r w:rsidR="004A1A5C" w:rsidRPr="008F58EB">
        <w:rPr>
          <w:sz w:val="20"/>
          <w:szCs w:val="20"/>
        </w:rPr>
        <w:t>A2</w:t>
      </w:r>
      <w:r w:rsidR="00F95976" w:rsidRPr="008F58EB">
        <w:rPr>
          <w:sz w:val="20"/>
          <w:szCs w:val="20"/>
        </w:rPr>
        <w:t xml:space="preserve"> has not only been linked to </w:t>
      </w:r>
      <w:r w:rsidR="003363B8" w:rsidRPr="008F58EB">
        <w:rPr>
          <w:sz w:val="20"/>
          <w:szCs w:val="20"/>
        </w:rPr>
        <w:t>tumor</w:t>
      </w:r>
      <w:r w:rsidR="00F95976" w:rsidRPr="008F58EB">
        <w:rPr>
          <w:sz w:val="20"/>
          <w:szCs w:val="20"/>
        </w:rPr>
        <w:t xml:space="preserve"> progression</w:t>
      </w:r>
      <w:r w:rsidR="00DB416C" w:rsidRPr="008F58EB">
        <w:rPr>
          <w:sz w:val="20"/>
          <w:szCs w:val="20"/>
        </w:rPr>
        <w:t xml:space="preserve"> </w:t>
      </w:r>
      <w:r w:rsidR="00F95976" w:rsidRPr="008F58EB">
        <w:rPr>
          <w:sz w:val="20"/>
          <w:szCs w:val="20"/>
        </w:rPr>
        <w:t>but also to metastasis and poor patient prognosis</w:t>
      </w:r>
      <w:r w:rsidR="00F15D4C" w:rsidRPr="008F58EB">
        <w:rPr>
          <w:sz w:val="20"/>
          <w:szCs w:val="20"/>
        </w:rPr>
        <w:t xml:space="preserve"> (</w:t>
      </w:r>
      <w:r w:rsidR="001B513F" w:rsidRPr="008F58EB">
        <w:rPr>
          <w:sz w:val="20"/>
          <w:szCs w:val="20"/>
        </w:rPr>
        <w:t>6</w:t>
      </w:r>
      <w:r w:rsidR="00F15D4C" w:rsidRPr="008F58EB">
        <w:rPr>
          <w:sz w:val="20"/>
          <w:szCs w:val="20"/>
        </w:rPr>
        <w:t>)</w:t>
      </w:r>
      <w:r w:rsidR="00F95976" w:rsidRPr="008F58EB">
        <w:rPr>
          <w:sz w:val="20"/>
          <w:szCs w:val="20"/>
        </w:rPr>
        <w:t xml:space="preserve">. </w:t>
      </w:r>
      <w:r w:rsidR="005D1A27" w:rsidRPr="008F58EB">
        <w:rPr>
          <w:sz w:val="20"/>
          <w:szCs w:val="20"/>
        </w:rPr>
        <w:t>Phage display is a powerful technique</w:t>
      </w:r>
      <w:r w:rsidR="00946459" w:rsidRPr="008F58EB">
        <w:rPr>
          <w:sz w:val="20"/>
          <w:szCs w:val="20"/>
        </w:rPr>
        <w:t xml:space="preserve"> </w:t>
      </w:r>
      <w:r w:rsidR="003363B8" w:rsidRPr="008F58EB">
        <w:rPr>
          <w:sz w:val="20"/>
          <w:szCs w:val="20"/>
        </w:rPr>
        <w:t>that enable the selection of s</w:t>
      </w:r>
      <w:r w:rsidR="00F95976" w:rsidRPr="008F58EB">
        <w:rPr>
          <w:sz w:val="20"/>
          <w:szCs w:val="20"/>
        </w:rPr>
        <w:t xml:space="preserve">ingle chain </w:t>
      </w:r>
      <w:r w:rsidR="003363B8" w:rsidRPr="008F58EB">
        <w:rPr>
          <w:sz w:val="20"/>
          <w:szCs w:val="20"/>
        </w:rPr>
        <w:t>variable (</w:t>
      </w:r>
      <w:proofErr w:type="spellStart"/>
      <w:r w:rsidR="003363B8" w:rsidRPr="008F58EB">
        <w:rPr>
          <w:sz w:val="20"/>
          <w:szCs w:val="20"/>
        </w:rPr>
        <w:t>scFv</w:t>
      </w:r>
      <w:proofErr w:type="spellEnd"/>
      <w:r w:rsidR="003363B8" w:rsidRPr="008F58EB">
        <w:rPr>
          <w:sz w:val="20"/>
          <w:szCs w:val="20"/>
        </w:rPr>
        <w:t>)</w:t>
      </w:r>
      <w:r w:rsidR="00F95976" w:rsidRPr="008F58EB">
        <w:rPr>
          <w:sz w:val="20"/>
          <w:szCs w:val="20"/>
        </w:rPr>
        <w:t xml:space="preserve"> antibody fragments </w:t>
      </w:r>
      <w:r w:rsidR="003363B8" w:rsidRPr="008F58EB">
        <w:rPr>
          <w:sz w:val="20"/>
          <w:szCs w:val="20"/>
        </w:rPr>
        <w:t xml:space="preserve">from phage libraries </w:t>
      </w:r>
      <w:r w:rsidR="00F95976" w:rsidRPr="008F58EB">
        <w:rPr>
          <w:sz w:val="20"/>
          <w:szCs w:val="20"/>
        </w:rPr>
        <w:t>displayed on the surface of bacteriophage (phage display), combined with iterative rounds of antigen-driven selection and phage proliferation</w:t>
      </w:r>
      <w:r w:rsidR="00312F1B" w:rsidRPr="008F58EB">
        <w:rPr>
          <w:sz w:val="20"/>
          <w:szCs w:val="20"/>
        </w:rPr>
        <w:t xml:space="preserve"> (</w:t>
      </w:r>
      <w:r w:rsidR="001B513F" w:rsidRPr="008F58EB">
        <w:rPr>
          <w:sz w:val="20"/>
          <w:szCs w:val="20"/>
        </w:rPr>
        <w:t>7</w:t>
      </w:r>
      <w:r w:rsidR="00312F1B" w:rsidRPr="008F58EB">
        <w:rPr>
          <w:sz w:val="20"/>
          <w:szCs w:val="20"/>
        </w:rPr>
        <w:t>)</w:t>
      </w:r>
      <w:r w:rsidR="00F95976" w:rsidRPr="008F58EB">
        <w:rPr>
          <w:sz w:val="20"/>
          <w:szCs w:val="20"/>
        </w:rPr>
        <w:t xml:space="preserve">. </w:t>
      </w:r>
      <w:r w:rsidR="000D2BBC" w:rsidRPr="008F58EB">
        <w:rPr>
          <w:sz w:val="20"/>
          <w:szCs w:val="20"/>
        </w:rPr>
        <w:t xml:space="preserve">Here, a naïve human </w:t>
      </w:r>
      <w:proofErr w:type="spellStart"/>
      <w:r w:rsidR="000D2BBC" w:rsidRPr="008F58EB">
        <w:rPr>
          <w:sz w:val="20"/>
          <w:szCs w:val="20"/>
        </w:rPr>
        <w:t>scFv</w:t>
      </w:r>
      <w:proofErr w:type="spellEnd"/>
      <w:r w:rsidR="000D2BBC" w:rsidRPr="008F58EB">
        <w:rPr>
          <w:sz w:val="20"/>
          <w:szCs w:val="20"/>
        </w:rPr>
        <w:t xml:space="preserve"> phage-displayed library was employed to isolate the specific phage binders against human EphA2 extracellular domain</w:t>
      </w:r>
      <w:r w:rsidR="00030BB9" w:rsidRPr="008F58EB">
        <w:rPr>
          <w:sz w:val="20"/>
          <w:szCs w:val="20"/>
        </w:rPr>
        <w:t xml:space="preserve"> </w:t>
      </w:r>
      <w:r w:rsidR="00946459" w:rsidRPr="008F58EB">
        <w:rPr>
          <w:sz w:val="20"/>
          <w:szCs w:val="20"/>
        </w:rPr>
        <w:t>(ECD)</w:t>
      </w:r>
      <w:r w:rsidR="000D2BBC" w:rsidRPr="008F58EB">
        <w:rPr>
          <w:sz w:val="20"/>
          <w:szCs w:val="20"/>
        </w:rPr>
        <w:t xml:space="preserve">. ELISA was performed to determine the enrichment of phage particles obtained after each round of panning against recombinant human EphA2 extracellular domain. Monoclonal phage antibody ELISA was executed to isolate individual phage clones. The </w:t>
      </w:r>
      <w:proofErr w:type="spellStart"/>
      <w:r w:rsidR="000D2BBC" w:rsidRPr="008F58EB">
        <w:rPr>
          <w:sz w:val="20"/>
          <w:szCs w:val="20"/>
        </w:rPr>
        <w:t>scFv</w:t>
      </w:r>
      <w:proofErr w:type="spellEnd"/>
      <w:r w:rsidR="000D2BBC" w:rsidRPr="008F58EB">
        <w:rPr>
          <w:sz w:val="20"/>
          <w:szCs w:val="20"/>
        </w:rPr>
        <w:t xml:space="preserve"> phage particle was reformatted to full</w:t>
      </w:r>
      <w:r w:rsidR="00DB416C" w:rsidRPr="008F58EB">
        <w:rPr>
          <w:sz w:val="20"/>
          <w:szCs w:val="20"/>
        </w:rPr>
        <w:t>-</w:t>
      </w:r>
      <w:r w:rsidR="000D2BBC" w:rsidRPr="008F58EB">
        <w:rPr>
          <w:sz w:val="20"/>
          <w:szCs w:val="20"/>
        </w:rPr>
        <w:t xml:space="preserve"> length human IgG1. The reformatted antibody was purified and </w:t>
      </w:r>
      <w:r w:rsidR="00946459" w:rsidRPr="008F58EB">
        <w:rPr>
          <w:sz w:val="20"/>
          <w:szCs w:val="20"/>
        </w:rPr>
        <w:t xml:space="preserve">its binding was </w:t>
      </w:r>
      <w:r w:rsidR="000D2BBC" w:rsidRPr="008F58EB">
        <w:rPr>
          <w:sz w:val="20"/>
          <w:szCs w:val="20"/>
        </w:rPr>
        <w:t>tested</w:t>
      </w:r>
      <w:r w:rsidR="00946459" w:rsidRPr="008F58EB">
        <w:rPr>
          <w:sz w:val="20"/>
          <w:szCs w:val="20"/>
        </w:rPr>
        <w:t xml:space="preserve"> by flow cytometry on glioblastoma cell line</w:t>
      </w:r>
      <w:r w:rsidR="000D2BBC" w:rsidRPr="008F58EB">
        <w:rPr>
          <w:sz w:val="20"/>
          <w:szCs w:val="20"/>
        </w:rPr>
        <w:t xml:space="preserve"> </w:t>
      </w:r>
      <w:r w:rsidR="00946459" w:rsidRPr="008F58EB">
        <w:rPr>
          <w:sz w:val="20"/>
          <w:szCs w:val="20"/>
        </w:rPr>
        <w:t xml:space="preserve">and its affinity </w:t>
      </w:r>
      <w:r w:rsidR="00F208A9" w:rsidRPr="008F58EB">
        <w:rPr>
          <w:sz w:val="20"/>
          <w:szCs w:val="20"/>
        </w:rPr>
        <w:t xml:space="preserve">was measured by </w:t>
      </w:r>
      <w:proofErr w:type="spellStart"/>
      <w:r w:rsidR="00F208A9" w:rsidRPr="008F58EB">
        <w:rPr>
          <w:sz w:val="20"/>
          <w:szCs w:val="20"/>
        </w:rPr>
        <w:t>Biacore</w:t>
      </w:r>
      <w:proofErr w:type="spellEnd"/>
      <w:r w:rsidR="00F208A9" w:rsidRPr="008F58EB">
        <w:rPr>
          <w:sz w:val="20"/>
          <w:szCs w:val="20"/>
        </w:rPr>
        <w:t xml:space="preserve"> </w:t>
      </w:r>
      <w:r w:rsidR="00946459" w:rsidRPr="008F58EB">
        <w:rPr>
          <w:sz w:val="20"/>
          <w:szCs w:val="20"/>
        </w:rPr>
        <w:t>to the EphA2-ECD</w:t>
      </w:r>
      <w:r w:rsidR="000D2BBC" w:rsidRPr="008F58EB">
        <w:rPr>
          <w:sz w:val="20"/>
          <w:szCs w:val="20"/>
        </w:rPr>
        <w:t xml:space="preserve">. </w:t>
      </w:r>
    </w:p>
    <w:p w:rsidR="00F95976" w:rsidRPr="008F58EB" w:rsidRDefault="00F95976" w:rsidP="00CE1D05">
      <w:pPr>
        <w:jc w:val="both"/>
        <w:rPr>
          <w:sz w:val="20"/>
          <w:szCs w:val="20"/>
        </w:rPr>
      </w:pPr>
    </w:p>
    <w:p w:rsidR="00AE3E37" w:rsidRDefault="00A9710C" w:rsidP="00F208A9">
      <w:pPr>
        <w:pStyle w:val="Heading3"/>
        <w:spacing w:before="74"/>
        <w:rPr>
          <w:color w:val="BF5A14"/>
        </w:rPr>
      </w:pPr>
      <w:r>
        <w:rPr>
          <w:b w:val="0"/>
        </w:rPr>
        <w:br w:type="column"/>
      </w:r>
    </w:p>
    <w:tbl>
      <w:tblPr>
        <w:tblStyle w:val="TableGrid"/>
        <w:tblpPr w:leftFromText="180" w:rightFromText="180" w:vertAnchor="text" w:horzAnchor="margin" w:tblpXSpec="right" w:tblpY="342"/>
        <w:tblW w:w="0" w:type="auto"/>
        <w:tblLook w:val="04A0" w:firstRow="1" w:lastRow="0" w:firstColumn="1" w:lastColumn="0" w:noHBand="0" w:noVBand="1"/>
      </w:tblPr>
      <w:tblGrid>
        <w:gridCol w:w="2202"/>
      </w:tblGrid>
      <w:tr w:rsidR="008742C8" w:rsidTr="008742C8">
        <w:trPr>
          <w:trHeight w:val="291"/>
        </w:trPr>
        <w:tc>
          <w:tcPr>
            <w:tcW w:w="2202" w:type="dxa"/>
          </w:tcPr>
          <w:p w:rsidR="008742C8" w:rsidRPr="0087789D" w:rsidRDefault="008742C8" w:rsidP="00F208A9">
            <w:pPr>
              <w:pStyle w:val="BodyText"/>
              <w:spacing w:before="2"/>
              <w:rPr>
                <w:bCs/>
                <w:szCs w:val="20"/>
                <w:lang w:val="en-AU"/>
              </w:rPr>
            </w:pPr>
            <w:r>
              <w:rPr>
                <w:bCs/>
                <w:szCs w:val="20"/>
                <w:lang w:val="en-AU"/>
              </w:rPr>
              <w:t xml:space="preserve">Figure 1: </w:t>
            </w:r>
            <w:r w:rsidRPr="0087789D">
              <w:rPr>
                <w:bCs/>
                <w:szCs w:val="20"/>
                <w:lang w:val="en-AU"/>
              </w:rPr>
              <w:t xml:space="preserve">SPR </w:t>
            </w:r>
            <w:proofErr w:type="spellStart"/>
            <w:r w:rsidRPr="0087789D">
              <w:rPr>
                <w:bCs/>
                <w:szCs w:val="20"/>
                <w:lang w:val="en-AU"/>
              </w:rPr>
              <w:t>sensorgrams</w:t>
            </w:r>
            <w:proofErr w:type="spellEnd"/>
            <w:r w:rsidRPr="0087789D">
              <w:rPr>
                <w:bCs/>
                <w:szCs w:val="20"/>
                <w:lang w:val="en-AU"/>
              </w:rPr>
              <w:t xml:space="preserve"> (</w:t>
            </w:r>
            <w:proofErr w:type="spellStart"/>
            <w:r w:rsidRPr="0087789D">
              <w:rPr>
                <w:bCs/>
                <w:szCs w:val="20"/>
                <w:lang w:val="en-AU"/>
              </w:rPr>
              <w:t>Biacore</w:t>
            </w:r>
            <w:proofErr w:type="spellEnd"/>
            <w:r w:rsidRPr="0087789D">
              <w:rPr>
                <w:bCs/>
                <w:szCs w:val="20"/>
                <w:lang w:val="en-AU"/>
              </w:rPr>
              <w:t xml:space="preserve"> T200) for the interaction between ligand (anti-EphA2 </w:t>
            </w:r>
            <w:proofErr w:type="spellStart"/>
            <w:r w:rsidRPr="0087789D">
              <w:rPr>
                <w:bCs/>
                <w:szCs w:val="20"/>
                <w:lang w:val="en-AU"/>
              </w:rPr>
              <w:t>m</w:t>
            </w:r>
            <w:r w:rsidR="00F208A9">
              <w:rPr>
                <w:bCs/>
                <w:szCs w:val="20"/>
                <w:lang w:val="en-AU"/>
              </w:rPr>
              <w:t>Ab</w:t>
            </w:r>
            <w:proofErr w:type="spellEnd"/>
            <w:r w:rsidR="00F208A9">
              <w:rPr>
                <w:bCs/>
                <w:szCs w:val="20"/>
                <w:lang w:val="en-AU"/>
              </w:rPr>
              <w:t>) and recombinant human EphA2</w:t>
            </w:r>
          </w:p>
          <w:p w:rsidR="008742C8" w:rsidRDefault="008742C8" w:rsidP="008742C8">
            <w:pPr>
              <w:pStyle w:val="Heading3"/>
              <w:spacing w:before="74"/>
              <w:ind w:left="0"/>
            </w:pPr>
          </w:p>
        </w:tc>
      </w:tr>
    </w:tbl>
    <w:p w:rsidR="00A17F5B" w:rsidRDefault="00B11422">
      <w:pPr>
        <w:pStyle w:val="Heading3"/>
        <w:spacing w:before="74"/>
      </w:pPr>
      <w:r>
        <w:object w:dxaOrig="8302" w:dyaOrig="4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55pt;height:86.95pt" o:ole="">
            <v:imagedata r:id="rId9" o:title=""/>
          </v:shape>
          <o:OLEObject Type="Embed" ProgID="Prism8.Document" ShapeID="_x0000_i1025" DrawAspect="Content" ObjectID="_1620711995" r:id="rId10"/>
        </w:object>
      </w:r>
      <w:r w:rsidR="00A17F5B" w:rsidRPr="00A17F5B">
        <w:t xml:space="preserve"> </w:t>
      </w:r>
    </w:p>
    <w:p w:rsidR="008742C8" w:rsidRDefault="008742C8">
      <w:pPr>
        <w:pStyle w:val="Heading3"/>
        <w:spacing w:before="74"/>
      </w:pPr>
    </w:p>
    <w:p w:rsidR="0087789D" w:rsidRDefault="0087789D">
      <w:pPr>
        <w:pStyle w:val="BodyText"/>
        <w:spacing w:before="2"/>
        <w:rPr>
          <w:rFonts w:ascii="Arial"/>
          <w:b/>
          <w:sz w:val="16"/>
        </w:rPr>
      </w:pPr>
    </w:p>
    <w:p w:rsidR="005973B9" w:rsidRDefault="00A17F5B" w:rsidP="005973B9">
      <w:pPr>
        <w:spacing w:line="204" w:lineRule="exact"/>
        <w:rPr>
          <w:rFonts w:ascii="Arial"/>
          <w:b/>
          <w:sz w:val="20"/>
        </w:rPr>
      </w:pPr>
      <w:r>
        <w:rPr>
          <w:rFonts w:ascii="Arial"/>
          <w:b/>
          <w:color w:val="BF5A14"/>
          <w:sz w:val="20"/>
        </w:rPr>
        <w:t>References:</w:t>
      </w:r>
    </w:p>
    <w:p w:rsidR="001422CC" w:rsidRPr="00B11422" w:rsidRDefault="001422CC" w:rsidP="001422CC">
      <w:pPr>
        <w:pStyle w:val="ListParagraph"/>
        <w:numPr>
          <w:ilvl w:val="0"/>
          <w:numId w:val="3"/>
        </w:numPr>
        <w:tabs>
          <w:tab w:val="left" w:pos="384"/>
        </w:tabs>
        <w:spacing w:before="103" w:line="216" w:lineRule="exact"/>
        <w:ind w:right="138" w:hanging="283"/>
        <w:rPr>
          <w:sz w:val="18"/>
          <w:szCs w:val="18"/>
        </w:rPr>
      </w:pPr>
      <w:r w:rsidRPr="00B11422">
        <w:rPr>
          <w:sz w:val="18"/>
          <w:szCs w:val="18"/>
        </w:rPr>
        <w:t>Cancer in Australia. Australian Institute of Health and Welfare (2017) 9101</w:t>
      </w:r>
      <w:r w:rsidR="0007714E" w:rsidRPr="00B11422">
        <w:rPr>
          <w:sz w:val="18"/>
          <w:szCs w:val="18"/>
        </w:rPr>
        <w:t>.</w:t>
      </w:r>
    </w:p>
    <w:p w:rsidR="0007714E" w:rsidRPr="00B11422" w:rsidRDefault="0007714E" w:rsidP="0007714E">
      <w:pPr>
        <w:pStyle w:val="ListParagraph"/>
        <w:numPr>
          <w:ilvl w:val="0"/>
          <w:numId w:val="3"/>
        </w:numPr>
        <w:tabs>
          <w:tab w:val="left" w:pos="384"/>
        </w:tabs>
        <w:spacing w:before="103" w:line="216" w:lineRule="exact"/>
        <w:ind w:right="138" w:hanging="283"/>
        <w:rPr>
          <w:sz w:val="18"/>
          <w:szCs w:val="18"/>
        </w:rPr>
      </w:pPr>
      <w:r w:rsidRPr="00B11422">
        <w:rPr>
          <w:sz w:val="18"/>
          <w:szCs w:val="18"/>
        </w:rPr>
        <w:t>Bruhn H, et al (2018)</w:t>
      </w:r>
      <w:r w:rsidRPr="00B11422">
        <w:rPr>
          <w:rFonts w:ascii="Arial" w:eastAsia="Tw Cen MT" w:hAnsi="Arial" w:cs="Arial"/>
          <w:b/>
          <w:bCs/>
          <w:color w:val="1C1D1E"/>
          <w:sz w:val="18"/>
          <w:szCs w:val="18"/>
        </w:rPr>
        <w:t xml:space="preserve"> </w:t>
      </w:r>
      <w:r w:rsidRPr="00B11422">
        <w:rPr>
          <w:sz w:val="18"/>
          <w:szCs w:val="18"/>
        </w:rPr>
        <w:t xml:space="preserve">Improved survival of Swedish glioblastoma patients treated according to </w:t>
      </w:r>
      <w:proofErr w:type="spellStart"/>
      <w:r w:rsidRPr="00B11422">
        <w:rPr>
          <w:sz w:val="18"/>
          <w:szCs w:val="18"/>
        </w:rPr>
        <w:t>Stupp</w:t>
      </w:r>
      <w:proofErr w:type="spellEnd"/>
      <w:r w:rsidRPr="00B11422">
        <w:rPr>
          <w:sz w:val="18"/>
          <w:szCs w:val="18"/>
        </w:rPr>
        <w:t xml:space="preserve">. </w:t>
      </w:r>
      <w:proofErr w:type="spellStart"/>
      <w:r w:rsidRPr="00B11422">
        <w:rPr>
          <w:sz w:val="18"/>
          <w:szCs w:val="18"/>
        </w:rPr>
        <w:t>Acta</w:t>
      </w:r>
      <w:proofErr w:type="spellEnd"/>
      <w:r w:rsidRPr="00B11422">
        <w:rPr>
          <w:sz w:val="18"/>
          <w:szCs w:val="18"/>
        </w:rPr>
        <w:t xml:space="preserve"> </w:t>
      </w:r>
      <w:proofErr w:type="spellStart"/>
      <w:r w:rsidRPr="00B11422">
        <w:rPr>
          <w:sz w:val="18"/>
          <w:szCs w:val="18"/>
        </w:rPr>
        <w:t>Neurologica</w:t>
      </w:r>
      <w:proofErr w:type="spellEnd"/>
      <w:r w:rsidRPr="00B11422">
        <w:rPr>
          <w:sz w:val="18"/>
          <w:szCs w:val="18"/>
        </w:rPr>
        <w:t xml:space="preserve"> </w:t>
      </w:r>
      <w:proofErr w:type="spellStart"/>
      <w:r w:rsidRPr="00B11422">
        <w:rPr>
          <w:sz w:val="18"/>
          <w:szCs w:val="18"/>
        </w:rPr>
        <w:t>Scandinavica</w:t>
      </w:r>
      <w:proofErr w:type="spellEnd"/>
      <w:r w:rsidRPr="00B11422">
        <w:rPr>
          <w:sz w:val="18"/>
          <w:szCs w:val="18"/>
        </w:rPr>
        <w:t xml:space="preserve"> 138:332-337.</w:t>
      </w:r>
    </w:p>
    <w:p w:rsidR="00AE26EA" w:rsidRPr="00B11422" w:rsidRDefault="00AE26EA" w:rsidP="00AE26EA">
      <w:pPr>
        <w:pStyle w:val="ListParagraph"/>
        <w:numPr>
          <w:ilvl w:val="0"/>
          <w:numId w:val="3"/>
        </w:numPr>
        <w:tabs>
          <w:tab w:val="left" w:pos="384"/>
        </w:tabs>
        <w:spacing w:before="103" w:line="216" w:lineRule="exact"/>
        <w:ind w:right="138" w:hanging="283"/>
        <w:rPr>
          <w:sz w:val="18"/>
          <w:szCs w:val="18"/>
        </w:rPr>
      </w:pPr>
      <w:proofErr w:type="spellStart"/>
      <w:r w:rsidRPr="00B11422">
        <w:rPr>
          <w:sz w:val="18"/>
          <w:szCs w:val="18"/>
        </w:rPr>
        <w:t>Fleuren</w:t>
      </w:r>
      <w:proofErr w:type="spellEnd"/>
      <w:r w:rsidRPr="00B11422">
        <w:rPr>
          <w:sz w:val="18"/>
          <w:szCs w:val="18"/>
        </w:rPr>
        <w:t>, EDG, et al (2014) Therapeutic applications of antibodies in oncology. Molecular Oncology, 8(4): 799-812.</w:t>
      </w:r>
    </w:p>
    <w:p w:rsidR="00167720" w:rsidRPr="00B11422" w:rsidRDefault="00167720" w:rsidP="00312F1B">
      <w:pPr>
        <w:pStyle w:val="ListParagraph"/>
        <w:numPr>
          <w:ilvl w:val="0"/>
          <w:numId w:val="3"/>
        </w:numPr>
        <w:tabs>
          <w:tab w:val="left" w:pos="384"/>
        </w:tabs>
        <w:spacing w:before="103" w:line="216" w:lineRule="exact"/>
        <w:ind w:right="138" w:hanging="283"/>
        <w:rPr>
          <w:sz w:val="18"/>
          <w:szCs w:val="18"/>
        </w:rPr>
      </w:pPr>
      <w:r w:rsidRPr="00B11422">
        <w:rPr>
          <w:sz w:val="18"/>
          <w:szCs w:val="18"/>
        </w:rPr>
        <w:t xml:space="preserve">Binda E, et al (2012) The EphA2 receptor drives self-renewal and </w:t>
      </w:r>
      <w:proofErr w:type="spellStart"/>
      <w:r w:rsidRPr="00B11422">
        <w:rPr>
          <w:sz w:val="18"/>
          <w:szCs w:val="18"/>
        </w:rPr>
        <w:t>tumorigenicity</w:t>
      </w:r>
      <w:proofErr w:type="spellEnd"/>
      <w:r w:rsidRPr="00B11422">
        <w:rPr>
          <w:sz w:val="18"/>
          <w:szCs w:val="18"/>
        </w:rPr>
        <w:t xml:space="preserve"> in stem-like tumor-propagating cells from human glioblastomas. Cancer cell 22(6):765-80.  </w:t>
      </w:r>
    </w:p>
    <w:p w:rsidR="00C65B8F" w:rsidRPr="00B11422" w:rsidRDefault="007574CA" w:rsidP="007574CA">
      <w:pPr>
        <w:pStyle w:val="ListParagraph"/>
        <w:numPr>
          <w:ilvl w:val="0"/>
          <w:numId w:val="3"/>
        </w:numPr>
        <w:tabs>
          <w:tab w:val="left" w:pos="384"/>
        </w:tabs>
        <w:spacing w:line="216" w:lineRule="exact"/>
        <w:ind w:right="138" w:hanging="283"/>
        <w:rPr>
          <w:sz w:val="18"/>
          <w:szCs w:val="18"/>
        </w:rPr>
      </w:pPr>
      <w:proofErr w:type="spellStart"/>
      <w:r w:rsidRPr="00B11422">
        <w:rPr>
          <w:sz w:val="18"/>
          <w:szCs w:val="18"/>
        </w:rPr>
        <w:t>Hamaoka</w:t>
      </w:r>
      <w:proofErr w:type="spellEnd"/>
      <w:r w:rsidRPr="00B11422">
        <w:rPr>
          <w:sz w:val="18"/>
          <w:szCs w:val="18"/>
        </w:rPr>
        <w:t xml:space="preserve"> Y, et al (2018) Tyrosine kinase activity of EphA2 promotes its S897phosphorylation and glioblastoma cell proliferation. Biochemical and Biophysical Research Communications 499: 920-926. </w:t>
      </w:r>
    </w:p>
    <w:p w:rsidR="00F15D4C" w:rsidRPr="00B11422" w:rsidRDefault="00F15D4C" w:rsidP="00F15D4C">
      <w:pPr>
        <w:pStyle w:val="ListParagraph"/>
        <w:numPr>
          <w:ilvl w:val="0"/>
          <w:numId w:val="3"/>
        </w:numPr>
        <w:tabs>
          <w:tab w:val="left" w:pos="384"/>
        </w:tabs>
        <w:spacing w:line="216" w:lineRule="exact"/>
        <w:ind w:right="138" w:hanging="283"/>
        <w:rPr>
          <w:sz w:val="18"/>
          <w:szCs w:val="18"/>
        </w:rPr>
      </w:pPr>
      <w:r w:rsidRPr="00B11422">
        <w:rPr>
          <w:sz w:val="18"/>
          <w:szCs w:val="18"/>
        </w:rPr>
        <w:t xml:space="preserve">Guy AC, Graeme M (2019) Recent advances in understanding the roles of matrix </w:t>
      </w:r>
      <w:proofErr w:type="spellStart"/>
      <w:r w:rsidRPr="00B11422">
        <w:rPr>
          <w:sz w:val="18"/>
          <w:szCs w:val="18"/>
        </w:rPr>
        <w:t>metalloproteinases</w:t>
      </w:r>
      <w:proofErr w:type="spellEnd"/>
      <w:r w:rsidRPr="00B11422">
        <w:rPr>
          <w:sz w:val="18"/>
          <w:szCs w:val="18"/>
        </w:rPr>
        <w:t xml:space="preserve"> in </w:t>
      </w:r>
      <w:proofErr w:type="spellStart"/>
      <w:r w:rsidRPr="00B11422">
        <w:rPr>
          <w:sz w:val="18"/>
          <w:szCs w:val="18"/>
        </w:rPr>
        <w:t>tumour</w:t>
      </w:r>
      <w:proofErr w:type="spellEnd"/>
      <w:r w:rsidRPr="00B11422">
        <w:rPr>
          <w:sz w:val="18"/>
          <w:szCs w:val="18"/>
        </w:rPr>
        <w:t xml:space="preserve"> invasion and metastasis. Journal of Pathology</w:t>
      </w:r>
      <w:r w:rsidR="001B513F" w:rsidRPr="00B11422">
        <w:rPr>
          <w:sz w:val="18"/>
          <w:szCs w:val="18"/>
        </w:rPr>
        <w:t xml:space="preserve"> 247:629-640.</w:t>
      </w:r>
    </w:p>
    <w:p w:rsidR="00F15D4C" w:rsidRPr="00B11422" w:rsidRDefault="00F15D4C" w:rsidP="00F15D4C">
      <w:pPr>
        <w:pStyle w:val="ListParagraph"/>
        <w:numPr>
          <w:ilvl w:val="0"/>
          <w:numId w:val="3"/>
        </w:numPr>
        <w:tabs>
          <w:tab w:val="left" w:pos="384"/>
        </w:tabs>
        <w:spacing w:before="103" w:line="216" w:lineRule="exact"/>
        <w:ind w:right="138" w:hanging="283"/>
        <w:rPr>
          <w:sz w:val="18"/>
          <w:szCs w:val="18"/>
        </w:rPr>
      </w:pPr>
      <w:r w:rsidRPr="00B11422">
        <w:rPr>
          <w:sz w:val="18"/>
          <w:szCs w:val="18"/>
        </w:rPr>
        <w:t xml:space="preserve">Rami A, et al (2017) </w:t>
      </w:r>
      <w:proofErr w:type="gramStart"/>
      <w:r w:rsidRPr="00B11422">
        <w:rPr>
          <w:sz w:val="18"/>
          <w:szCs w:val="18"/>
        </w:rPr>
        <w:t>An</w:t>
      </w:r>
      <w:proofErr w:type="gramEnd"/>
      <w:r w:rsidRPr="00B11422">
        <w:rPr>
          <w:sz w:val="18"/>
          <w:szCs w:val="18"/>
        </w:rPr>
        <w:t xml:space="preserve"> overview on application of phage display technique in immunological studies 7:599-602.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13CE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8742C8" w:rsidRDefault="008756E6" w:rsidP="008742C8">
      <w:pPr>
        <w:spacing w:before="92"/>
        <w:ind w:right="4234"/>
        <w:rPr>
          <w:noProof/>
        </w:rPr>
      </w:pPr>
      <w:r>
        <w:rPr>
          <w:noProof/>
        </w:rPr>
        <w:t xml:space="preserve">              </w:t>
      </w:r>
      <w:r w:rsidR="00F21053" w:rsidRPr="00F21053">
        <w:rPr>
          <w:noProof/>
          <w:lang w:val="en-AU" w:eastAsia="en-AU"/>
        </w:rPr>
        <w:drawing>
          <wp:inline distT="0" distB="0" distL="0" distR="0">
            <wp:extent cx="861695" cy="802257"/>
            <wp:effectExtent l="0" t="0" r="0" b="0"/>
            <wp:docPr id="2" name="Picture 2" descr="C:\Users\s4366354\Pictures\Ari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4366354\Pictures\Ari 201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0483" cy="819749"/>
                    </a:xfrm>
                    <a:prstGeom prst="rect">
                      <a:avLst/>
                    </a:prstGeom>
                    <a:noFill/>
                    <a:ln>
                      <a:noFill/>
                    </a:ln>
                  </pic:spPr>
                </pic:pic>
              </a:graphicData>
            </a:graphic>
          </wp:inline>
        </w:drawing>
      </w:r>
      <w:r w:rsidR="008742C8">
        <w:rPr>
          <w:noProof/>
        </w:rPr>
        <w:t xml:space="preserve"> </w:t>
      </w:r>
      <w:r w:rsidR="00A9710C">
        <w:rPr>
          <w:rFonts w:ascii="Arial"/>
          <w:color w:val="BF5A14"/>
        </w:rPr>
        <w:t>Biography</w:t>
      </w:r>
      <w:r w:rsidR="00404E5B">
        <w:rPr>
          <w:rFonts w:ascii="Arial"/>
          <w:color w:val="BF5A14"/>
        </w:rPr>
        <w:t xml:space="preserve"> </w:t>
      </w:r>
    </w:p>
    <w:p w:rsidR="00A706DF" w:rsidRPr="0022514A" w:rsidRDefault="00A706DF" w:rsidP="00F21053">
      <w:pPr>
        <w:spacing w:before="41" w:line="154" w:lineRule="exact"/>
        <w:ind w:left="213" w:right="231"/>
        <w:jc w:val="both"/>
        <w:rPr>
          <w:rFonts w:ascii="Arial"/>
          <w:sz w:val="18"/>
          <w:szCs w:val="28"/>
        </w:rPr>
      </w:pPr>
      <w:r w:rsidRPr="0022514A">
        <w:rPr>
          <w:rFonts w:ascii="Arial"/>
          <w:sz w:val="18"/>
          <w:szCs w:val="28"/>
        </w:rPr>
        <w:t xml:space="preserve">Arghavan Golbaz </w:t>
      </w:r>
      <w:proofErr w:type="spellStart"/>
      <w:r w:rsidRPr="0022514A">
        <w:rPr>
          <w:rFonts w:ascii="Arial"/>
          <w:sz w:val="18"/>
          <w:szCs w:val="28"/>
        </w:rPr>
        <w:t>Hagh</w:t>
      </w:r>
      <w:r>
        <w:rPr>
          <w:rFonts w:ascii="Arial"/>
          <w:sz w:val="18"/>
          <w:szCs w:val="28"/>
        </w:rPr>
        <w:t>’</w:t>
      </w:r>
      <w:r>
        <w:rPr>
          <w:rFonts w:ascii="Arial"/>
          <w:sz w:val="18"/>
          <w:szCs w:val="28"/>
        </w:rPr>
        <w:t>s</w:t>
      </w:r>
      <w:proofErr w:type="spellEnd"/>
      <w:r>
        <w:rPr>
          <w:rFonts w:ascii="Arial"/>
          <w:sz w:val="18"/>
          <w:szCs w:val="28"/>
        </w:rPr>
        <w:t xml:space="preserve"> research interest</w:t>
      </w:r>
      <w:r w:rsidRPr="0022514A">
        <w:rPr>
          <w:rFonts w:ascii="Arial"/>
          <w:sz w:val="18"/>
          <w:szCs w:val="28"/>
        </w:rPr>
        <w:t xml:space="preserve"> </w:t>
      </w:r>
      <w:r>
        <w:rPr>
          <w:rFonts w:ascii="Arial"/>
          <w:sz w:val="18"/>
          <w:szCs w:val="28"/>
        </w:rPr>
        <w:t>lies</w:t>
      </w:r>
      <w:r w:rsidRPr="0022514A">
        <w:rPr>
          <w:rFonts w:ascii="Arial"/>
          <w:sz w:val="18"/>
          <w:szCs w:val="28"/>
        </w:rPr>
        <w:t xml:space="preserve"> in </w:t>
      </w:r>
      <w:r>
        <w:rPr>
          <w:rFonts w:ascii="Arial"/>
          <w:sz w:val="18"/>
          <w:szCs w:val="28"/>
        </w:rPr>
        <w:t>the discover</w:t>
      </w:r>
      <w:r w:rsidR="00F21053">
        <w:rPr>
          <w:rFonts w:ascii="Arial"/>
          <w:sz w:val="18"/>
          <w:szCs w:val="28"/>
        </w:rPr>
        <w:t>y</w:t>
      </w:r>
      <w:r>
        <w:rPr>
          <w:rFonts w:ascii="Arial"/>
          <w:sz w:val="18"/>
          <w:szCs w:val="28"/>
        </w:rPr>
        <w:t xml:space="preserve"> and </w:t>
      </w:r>
      <w:r w:rsidRPr="0022514A">
        <w:rPr>
          <w:rFonts w:ascii="Arial"/>
          <w:sz w:val="18"/>
          <w:szCs w:val="28"/>
        </w:rPr>
        <w:t>engineering monoclonal antibodies through phage display</w:t>
      </w:r>
      <w:r>
        <w:rPr>
          <w:rFonts w:ascii="Arial"/>
          <w:sz w:val="18"/>
          <w:szCs w:val="28"/>
        </w:rPr>
        <w:t>. She has</w:t>
      </w:r>
      <w:r w:rsidRPr="0022514A">
        <w:rPr>
          <w:rFonts w:ascii="Arial"/>
          <w:sz w:val="18"/>
          <w:szCs w:val="28"/>
        </w:rPr>
        <w:t xml:space="preserve"> </w:t>
      </w:r>
      <w:r w:rsidR="00F21053">
        <w:rPr>
          <w:rFonts w:ascii="Arial"/>
          <w:sz w:val="18"/>
          <w:szCs w:val="28"/>
        </w:rPr>
        <w:t xml:space="preserve">a </w:t>
      </w:r>
      <w:r w:rsidRPr="0022514A">
        <w:rPr>
          <w:rFonts w:ascii="Arial"/>
          <w:sz w:val="18"/>
          <w:szCs w:val="28"/>
        </w:rPr>
        <w:t xml:space="preserve">passion </w:t>
      </w:r>
      <w:r w:rsidR="00F21053">
        <w:rPr>
          <w:rFonts w:ascii="Arial"/>
          <w:sz w:val="18"/>
          <w:szCs w:val="28"/>
        </w:rPr>
        <w:t>for</w:t>
      </w:r>
      <w:r w:rsidRPr="0022514A">
        <w:rPr>
          <w:rFonts w:ascii="Arial"/>
          <w:sz w:val="18"/>
          <w:szCs w:val="28"/>
        </w:rPr>
        <w:t xml:space="preserve"> </w:t>
      </w:r>
      <w:r>
        <w:rPr>
          <w:rFonts w:ascii="Arial"/>
          <w:sz w:val="18"/>
          <w:szCs w:val="28"/>
        </w:rPr>
        <w:t xml:space="preserve">discovery novel biopharmaceutical and diagnostic </w:t>
      </w:r>
      <w:proofErr w:type="spellStart"/>
      <w:r>
        <w:rPr>
          <w:rFonts w:ascii="Arial"/>
          <w:sz w:val="18"/>
          <w:szCs w:val="28"/>
        </w:rPr>
        <w:t>mAb</w:t>
      </w:r>
      <w:proofErr w:type="spellEnd"/>
      <w:r>
        <w:rPr>
          <w:rFonts w:ascii="Arial"/>
          <w:sz w:val="18"/>
          <w:szCs w:val="28"/>
        </w:rPr>
        <w:t xml:space="preserve">-based agents against cell-surface biomarkers.  </w:t>
      </w:r>
    </w:p>
    <w:p w:rsidR="00AE3E37" w:rsidRPr="00B11422" w:rsidRDefault="00A9710C" w:rsidP="00B11422">
      <w:pPr>
        <w:spacing w:before="62"/>
        <w:ind w:left="4217" w:right="4235"/>
        <w:jc w:val="center"/>
        <w:rPr>
          <w:rFonts w:ascii="Arial"/>
          <w:sz w:val="14"/>
        </w:rPr>
        <w:sectPr w:rsidR="00AE3E37" w:rsidRPr="00B11422">
          <w:type w:val="continuous"/>
          <w:pgSz w:w="11910" w:h="16840"/>
          <w:pgMar w:top="1740" w:right="600" w:bottom="840" w:left="620" w:header="720" w:footer="720" w:gutter="0"/>
          <w:cols w:space="720"/>
        </w:sectPr>
      </w:pPr>
      <w:bookmarkStart w:id="0" w:name="_GoBack"/>
      <w:bookmarkEnd w:id="0"/>
      <w:r>
        <w:rPr>
          <w:rFonts w:ascii="Arial"/>
          <w:sz w:val="14"/>
        </w:rPr>
        <w:t xml:space="preserve">Email: </w:t>
      </w:r>
      <w:r w:rsidR="00F95976" w:rsidRPr="00B11422">
        <w:rPr>
          <w:rStyle w:val="Hyperlink"/>
          <w:rFonts w:ascii="Arial"/>
          <w:sz w:val="14"/>
        </w:rPr>
        <w:t>a.golbazhagh@uq.edu.au</w:t>
      </w:r>
      <w:r w:rsidR="00292ED9">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D340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B1142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9CD" w:rsidRDefault="00DE69CD">
      <w:r>
        <w:separator/>
      </w:r>
    </w:p>
  </w:endnote>
  <w:endnote w:type="continuationSeparator" w:id="0">
    <w:p w:rsidR="00DE69CD" w:rsidRDefault="00DE6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9CD" w:rsidRDefault="00DE69CD">
      <w:r>
        <w:separator/>
      </w:r>
    </w:p>
  </w:footnote>
  <w:footnote w:type="continuationSeparator" w:id="0">
    <w:p w:rsidR="00DE69CD" w:rsidRDefault="00DE6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0BB9"/>
    <w:rsid w:val="0007714E"/>
    <w:rsid w:val="000B2351"/>
    <w:rsid w:val="000D2BBC"/>
    <w:rsid w:val="000E2911"/>
    <w:rsid w:val="0011504E"/>
    <w:rsid w:val="001263DF"/>
    <w:rsid w:val="001422CC"/>
    <w:rsid w:val="00167720"/>
    <w:rsid w:val="00175540"/>
    <w:rsid w:val="00175A7B"/>
    <w:rsid w:val="001B513F"/>
    <w:rsid w:val="001E5096"/>
    <w:rsid w:val="00201A0C"/>
    <w:rsid w:val="002455EC"/>
    <w:rsid w:val="00292ED9"/>
    <w:rsid w:val="00312F1B"/>
    <w:rsid w:val="003363B8"/>
    <w:rsid w:val="0035412E"/>
    <w:rsid w:val="00374EAF"/>
    <w:rsid w:val="003C44E5"/>
    <w:rsid w:val="003D36AD"/>
    <w:rsid w:val="003D4C5D"/>
    <w:rsid w:val="00404E5B"/>
    <w:rsid w:val="00414F7B"/>
    <w:rsid w:val="004355DC"/>
    <w:rsid w:val="00446859"/>
    <w:rsid w:val="004749B4"/>
    <w:rsid w:val="00494130"/>
    <w:rsid w:val="004A1A5C"/>
    <w:rsid w:val="004B7047"/>
    <w:rsid w:val="004F3523"/>
    <w:rsid w:val="005973B9"/>
    <w:rsid w:val="005B3A56"/>
    <w:rsid w:val="005B7B45"/>
    <w:rsid w:val="005D1A27"/>
    <w:rsid w:val="006060CE"/>
    <w:rsid w:val="00606521"/>
    <w:rsid w:val="0063497F"/>
    <w:rsid w:val="006A777A"/>
    <w:rsid w:val="007574CA"/>
    <w:rsid w:val="00772F02"/>
    <w:rsid w:val="007A380F"/>
    <w:rsid w:val="007E634B"/>
    <w:rsid w:val="00800EDF"/>
    <w:rsid w:val="00873DF0"/>
    <w:rsid w:val="008742C8"/>
    <w:rsid w:val="008756E6"/>
    <w:rsid w:val="0087789D"/>
    <w:rsid w:val="008870FA"/>
    <w:rsid w:val="008A08B6"/>
    <w:rsid w:val="008F58EB"/>
    <w:rsid w:val="00946459"/>
    <w:rsid w:val="009B2D44"/>
    <w:rsid w:val="00A07E82"/>
    <w:rsid w:val="00A17F5B"/>
    <w:rsid w:val="00A5277F"/>
    <w:rsid w:val="00A706DF"/>
    <w:rsid w:val="00A9710C"/>
    <w:rsid w:val="00AC5A50"/>
    <w:rsid w:val="00AE26EA"/>
    <w:rsid w:val="00AE3E37"/>
    <w:rsid w:val="00B11422"/>
    <w:rsid w:val="00B21A57"/>
    <w:rsid w:val="00C33602"/>
    <w:rsid w:val="00C55122"/>
    <w:rsid w:val="00C65B8F"/>
    <w:rsid w:val="00C820D8"/>
    <w:rsid w:val="00CC32D6"/>
    <w:rsid w:val="00CD6F55"/>
    <w:rsid w:val="00CE1D05"/>
    <w:rsid w:val="00D32AD7"/>
    <w:rsid w:val="00DB416C"/>
    <w:rsid w:val="00DE3104"/>
    <w:rsid w:val="00DE69CD"/>
    <w:rsid w:val="00E16A16"/>
    <w:rsid w:val="00E20A73"/>
    <w:rsid w:val="00E26B10"/>
    <w:rsid w:val="00EE4D38"/>
    <w:rsid w:val="00EF7F41"/>
    <w:rsid w:val="00F15D4C"/>
    <w:rsid w:val="00F208A9"/>
    <w:rsid w:val="00F21053"/>
    <w:rsid w:val="00F72EEA"/>
    <w:rsid w:val="00F84CAE"/>
    <w:rsid w:val="00F95976"/>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FE1CC"/>
  <w15:docId w15:val="{AAB3ACCC-F8C2-4159-971C-ABFB5F103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B2351"/>
    <w:rPr>
      <w:rFonts w:ascii="Times New Roman" w:hAnsi="Times New Roman" w:cs="Times New Roman"/>
      <w:sz w:val="24"/>
      <w:szCs w:val="24"/>
    </w:rPr>
  </w:style>
  <w:style w:type="table" w:styleId="TableGrid">
    <w:name w:val="Table Grid"/>
    <w:basedOn w:val="TableNormal"/>
    <w:uiPriority w:val="59"/>
    <w:rsid w:val="00A17F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1</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Arghavan Golbaz Hagh</cp:lastModifiedBy>
  <cp:revision>31</cp:revision>
  <dcterms:created xsi:type="dcterms:W3CDTF">2019-05-27T01:35:00Z</dcterms:created>
  <dcterms:modified xsi:type="dcterms:W3CDTF">2019-05-29T23:00:00Z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