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4961D5" w14:textId="1674ED26" w:rsidR="00AE3E37" w:rsidRDefault="00B3012E" w:rsidP="00494130">
      <w:pPr>
        <w:pStyle w:val="Heading1"/>
        <w:spacing w:before="170"/>
        <w:ind w:left="0"/>
        <w:rPr>
          <w:color w:val="337AB7"/>
        </w:rPr>
      </w:pPr>
      <w:r>
        <w:rPr>
          <w:color w:val="337AB7"/>
        </w:rPr>
        <w:t xml:space="preserve">Emerging Material Application in </w:t>
      </w:r>
      <w:proofErr w:type="spellStart"/>
      <w:r>
        <w:rPr>
          <w:color w:val="337AB7"/>
        </w:rPr>
        <w:t>Nanoelectronic</w:t>
      </w:r>
      <w:proofErr w:type="spellEnd"/>
      <w:r>
        <w:rPr>
          <w:color w:val="337AB7"/>
        </w:rPr>
        <w:t xml:space="preserve"> Devices and Corresponding Electrical Performance Characterization </w:t>
      </w:r>
    </w:p>
    <w:p w14:paraId="6F97315C" w14:textId="77777777" w:rsidR="00282D78" w:rsidRPr="00282D78" w:rsidRDefault="00282D78" w:rsidP="00282D78">
      <w:pPr>
        <w:autoSpaceDE w:val="0"/>
        <w:autoSpaceDN w:val="0"/>
        <w:adjustRightInd w:val="0"/>
        <w:jc w:val="center"/>
        <w:rPr>
          <w:rFonts w:ascii="Arial" w:hAnsi="Arial" w:cs="Arial"/>
          <w:sz w:val="18"/>
          <w:szCs w:val="18"/>
          <w:vertAlign w:val="superscript"/>
          <w:lang w:val="en-GB"/>
        </w:rPr>
      </w:pPr>
      <w:r w:rsidRPr="00282D78">
        <w:rPr>
          <w:rFonts w:ascii="Arial" w:hAnsi="Arial" w:cs="Arial"/>
          <w:sz w:val="18"/>
          <w:szCs w:val="18"/>
          <w:lang w:val="en-GB"/>
        </w:rPr>
        <w:t>Hui-Lin Chang</w:t>
      </w:r>
      <w:r w:rsidRPr="00282D78">
        <w:rPr>
          <w:rFonts w:ascii="Arial" w:hAnsi="Arial" w:cs="Arial"/>
          <w:sz w:val="18"/>
          <w:szCs w:val="18"/>
          <w:vertAlign w:val="superscript"/>
          <w:lang w:val="en-GB"/>
        </w:rPr>
        <w:t xml:space="preserve"> 1, 2</w:t>
      </w:r>
    </w:p>
    <w:p w14:paraId="164D8744" w14:textId="77777777" w:rsidR="00282D78" w:rsidRPr="00282D78" w:rsidRDefault="00282D78" w:rsidP="00282D78">
      <w:pPr>
        <w:autoSpaceDE w:val="0"/>
        <w:autoSpaceDN w:val="0"/>
        <w:adjustRightInd w:val="0"/>
        <w:jc w:val="center"/>
        <w:rPr>
          <w:rFonts w:ascii="Arial" w:hAnsi="Arial" w:cs="Arial"/>
          <w:sz w:val="18"/>
          <w:szCs w:val="18"/>
          <w:lang w:val="en-GB"/>
        </w:rPr>
      </w:pPr>
      <w:r w:rsidRPr="00282D78">
        <w:rPr>
          <w:rFonts w:ascii="Arial" w:hAnsi="Arial" w:cs="Arial"/>
          <w:sz w:val="18"/>
          <w:szCs w:val="18"/>
          <w:vertAlign w:val="superscript"/>
          <w:lang w:val="en-GB"/>
        </w:rPr>
        <w:t xml:space="preserve">1 </w:t>
      </w:r>
      <w:r w:rsidRPr="00282D78">
        <w:rPr>
          <w:rFonts w:ascii="Arial" w:hAnsi="Arial" w:cs="Arial"/>
          <w:sz w:val="18"/>
          <w:szCs w:val="18"/>
          <w:lang w:val="en-GB"/>
        </w:rPr>
        <w:t xml:space="preserve">Material Science and Engineering Department, National </w:t>
      </w:r>
      <w:proofErr w:type="spellStart"/>
      <w:r w:rsidRPr="00282D78">
        <w:rPr>
          <w:rFonts w:ascii="Arial" w:hAnsi="Arial" w:cs="Arial"/>
          <w:sz w:val="18"/>
          <w:szCs w:val="18"/>
          <w:lang w:val="en-GB"/>
        </w:rPr>
        <w:t>Chiao</w:t>
      </w:r>
      <w:proofErr w:type="spellEnd"/>
      <w:r w:rsidRPr="00282D78">
        <w:rPr>
          <w:rFonts w:ascii="Arial" w:hAnsi="Arial" w:cs="Arial"/>
          <w:sz w:val="18"/>
          <w:szCs w:val="18"/>
          <w:lang w:val="en-GB"/>
        </w:rPr>
        <w:t xml:space="preserve"> Tung </w:t>
      </w:r>
      <w:proofErr w:type="spellStart"/>
      <w:r w:rsidRPr="00282D78">
        <w:rPr>
          <w:rFonts w:ascii="Arial" w:hAnsi="Arial" w:cs="Arial"/>
          <w:sz w:val="18"/>
          <w:szCs w:val="18"/>
          <w:lang w:val="en-GB"/>
        </w:rPr>
        <w:t>Unviersity</w:t>
      </w:r>
      <w:proofErr w:type="spellEnd"/>
      <w:r w:rsidRPr="00282D78">
        <w:rPr>
          <w:rFonts w:ascii="Arial" w:hAnsi="Arial" w:cs="Arial"/>
          <w:sz w:val="18"/>
          <w:szCs w:val="18"/>
          <w:lang w:val="en-GB"/>
        </w:rPr>
        <w:t xml:space="preserve">, </w:t>
      </w:r>
      <w:proofErr w:type="spellStart"/>
      <w:r w:rsidRPr="00282D78">
        <w:rPr>
          <w:rFonts w:ascii="Arial" w:hAnsi="Arial" w:cs="Arial"/>
          <w:sz w:val="18"/>
          <w:szCs w:val="18"/>
          <w:lang w:val="en-GB"/>
        </w:rPr>
        <w:t>HsinChu</w:t>
      </w:r>
      <w:proofErr w:type="spellEnd"/>
      <w:r w:rsidRPr="00282D78">
        <w:rPr>
          <w:rFonts w:ascii="Arial" w:hAnsi="Arial" w:cs="Arial"/>
          <w:sz w:val="18"/>
          <w:szCs w:val="18"/>
          <w:lang w:val="en-GB"/>
        </w:rPr>
        <w:t>, Taiwan</w:t>
      </w:r>
    </w:p>
    <w:p w14:paraId="374B0476" w14:textId="77777777" w:rsidR="00282D78" w:rsidRPr="00282D78" w:rsidRDefault="00282D78" w:rsidP="00282D78">
      <w:pPr>
        <w:jc w:val="center"/>
        <w:rPr>
          <w:rFonts w:ascii="Arial" w:hAnsi="Arial" w:cs="Arial"/>
          <w:sz w:val="18"/>
          <w:szCs w:val="18"/>
          <w:lang w:val="en-GB"/>
        </w:rPr>
      </w:pPr>
      <w:r w:rsidRPr="00282D78">
        <w:rPr>
          <w:rFonts w:ascii="Arial" w:hAnsi="Arial" w:cs="Arial"/>
          <w:sz w:val="18"/>
          <w:szCs w:val="18"/>
          <w:vertAlign w:val="superscript"/>
          <w:lang w:val="en-GB"/>
        </w:rPr>
        <w:t xml:space="preserve">2 </w:t>
      </w:r>
      <w:r w:rsidRPr="00282D78">
        <w:rPr>
          <w:rFonts w:ascii="Arial" w:hAnsi="Arial" w:cs="Arial"/>
          <w:sz w:val="18"/>
          <w:szCs w:val="18"/>
          <w:lang w:val="en-GB"/>
        </w:rPr>
        <w:t>Device Department, Micron Technology at Manassas, VA, 20110</w:t>
      </w:r>
    </w:p>
    <w:p w14:paraId="7FD1F512" w14:textId="77777777" w:rsidR="00AE3E37" w:rsidRDefault="00AE3E37">
      <w:pPr>
        <w:pStyle w:val="BodyText"/>
        <w:rPr>
          <w:rFonts w:ascii="Arial"/>
          <w:sz w:val="20"/>
        </w:rPr>
      </w:pPr>
    </w:p>
    <w:p w14:paraId="34B3C13B" w14:textId="77777777" w:rsidR="00AE3E37" w:rsidRDefault="00AE3E37">
      <w:pPr>
        <w:pStyle w:val="BodyText"/>
        <w:spacing w:before="3"/>
        <w:rPr>
          <w:rFonts w:ascii="Arial"/>
          <w:sz w:val="21"/>
        </w:rPr>
      </w:pPr>
    </w:p>
    <w:p w14:paraId="6F08BA7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DAD0C90" w14:textId="77777777" w:rsidR="00D43BE6" w:rsidRPr="005D53A4" w:rsidRDefault="00D43BE6" w:rsidP="00D43BE6">
      <w:pPr>
        <w:jc w:val="both"/>
        <w:rPr>
          <w:rFonts w:ascii="Arial" w:hAnsi="Arial" w:cs="Arial"/>
          <w:b/>
          <w:color w:val="E36C0A" w:themeColor="accent6" w:themeShade="BF"/>
          <w:sz w:val="20"/>
          <w:szCs w:val="20"/>
        </w:rPr>
      </w:pPr>
      <w:r w:rsidRPr="005D53A4">
        <w:rPr>
          <w:rFonts w:ascii="Arial" w:hAnsi="Arial" w:cs="Arial"/>
          <w:b/>
          <w:color w:val="E36C0A" w:themeColor="accent6" w:themeShade="BF"/>
          <w:sz w:val="20"/>
          <w:szCs w:val="20"/>
        </w:rPr>
        <w:t>Abstract:</w:t>
      </w:r>
    </w:p>
    <w:p w14:paraId="52C7DCCF" w14:textId="77777777" w:rsidR="00D43BE6" w:rsidRPr="009D1D9D" w:rsidRDefault="00D43BE6" w:rsidP="00D43BE6">
      <w:pPr>
        <w:jc w:val="both"/>
        <w:rPr>
          <w:rFonts w:ascii="Calibri Light" w:hAnsi="Calibri Light" w:cs="Calibri Light"/>
          <w:sz w:val="24"/>
          <w:szCs w:val="24"/>
        </w:rPr>
      </w:pPr>
      <w:r w:rsidRPr="009D1D9D">
        <w:rPr>
          <w:rFonts w:ascii="Calibri Light" w:hAnsi="Calibri Light" w:cs="Calibri Light"/>
          <w:sz w:val="24"/>
          <w:szCs w:val="24"/>
        </w:rPr>
        <w:t xml:space="preserve">Sustaining Moore’s law into the future requires continuous transistor scaling. Therefore, the adoption of emerging materials has become of great importance for the development of future nanoelectronics applications. Various emerging devices have been found to be promising candidates to extend Moore's law, such as Si nanowires, carbon nanotubes, and III-V compound field effect transistors (FETs). In this study, a systematic analysis and characterization of the structures and corresponding properties of the following emerging materials was conducted random oriented </w:t>
      </w:r>
      <w:proofErr w:type="spellStart"/>
      <w:r w:rsidRPr="009D1D9D">
        <w:rPr>
          <w:rFonts w:ascii="Calibri Light" w:hAnsi="Calibri Light" w:cs="Calibri Light"/>
          <w:sz w:val="24"/>
          <w:szCs w:val="24"/>
        </w:rPr>
        <w:t>SiCN</w:t>
      </w:r>
      <w:proofErr w:type="spellEnd"/>
      <w:r w:rsidRPr="009D1D9D">
        <w:rPr>
          <w:rFonts w:ascii="Calibri Light" w:hAnsi="Calibri Light" w:cs="Calibri Light"/>
          <w:sz w:val="24"/>
          <w:szCs w:val="24"/>
        </w:rPr>
        <w:t xml:space="preserve"> tubes, nanowire / conical rods and 2D graphite/seaweed structures. This study addresses the growth mechanisms and electronic properties of the </w:t>
      </w:r>
      <w:proofErr w:type="gramStart"/>
      <w:r w:rsidRPr="009D1D9D">
        <w:rPr>
          <w:rFonts w:ascii="Calibri Light" w:hAnsi="Calibri Light" w:cs="Calibri Light"/>
          <w:sz w:val="24"/>
          <w:szCs w:val="24"/>
        </w:rPr>
        <w:t>aforementioned nanostructured</w:t>
      </w:r>
      <w:proofErr w:type="gramEnd"/>
      <w:r w:rsidRPr="009D1D9D">
        <w:rPr>
          <w:rFonts w:ascii="Calibri Light" w:hAnsi="Calibri Light" w:cs="Calibri Light"/>
          <w:sz w:val="24"/>
          <w:szCs w:val="24"/>
        </w:rPr>
        <w:t xml:space="preserve"> materials (Fig.1-2). The development of nanostructured materials is critical for enhancing emerging device applications. The integration of carbon nanotubes (CNTs) into Si-based metal-oxide semiconductor field effect transistors (MOSFETs) or new nanoelectronics remains a challenge in the areas of transistors and interconnects. CNTs are recognized candidates for use in molecular electronics to overcome the physical limitations of currently used Si transistors and Cu interconnections [1-2]. Bundles of CNTs are naturally deposited in the vertical dimension, since they tend to adhere to each other vertically. The feasibility of realizing this vision depends on direct approaches to selective deposition in the trench or holes of Si wafers. Bundles of CNTs in the trenches and holes can provide </w:t>
      </w:r>
      <w:proofErr w:type="gramStart"/>
      <w:r w:rsidRPr="009D1D9D">
        <w:rPr>
          <w:rFonts w:ascii="Calibri Light" w:hAnsi="Calibri Light" w:cs="Calibri Light"/>
          <w:sz w:val="24"/>
          <w:szCs w:val="24"/>
        </w:rPr>
        <w:t>sufficient</w:t>
      </w:r>
      <w:proofErr w:type="gramEnd"/>
      <w:r w:rsidRPr="009D1D9D">
        <w:rPr>
          <w:rFonts w:ascii="Calibri Light" w:hAnsi="Calibri Light" w:cs="Calibri Light"/>
          <w:sz w:val="24"/>
          <w:szCs w:val="24"/>
        </w:rPr>
        <w:t xml:space="preserve"> current density in the form of channels and conductors, respectively (Fig.3). This paper systematically elucidates the synthesis of CNTs by microwave plasma CVD (MPCVD). In this study, Fe catalysts, CoSi2 films, and NiSi2 films employed frequently as gate electrodes and as a contact material in Si nanoelectronics are applied. The selective growth of CNTs in trench/hole/planar approaches is also investigated. Furthermore, the morphology and nanostructures of CNTs are characterized. The field </w:t>
      </w:r>
      <w:r w:rsidRPr="009D1D9D">
        <w:rPr>
          <w:rFonts w:ascii="Calibri Light" w:hAnsi="Calibri Light" w:cs="Calibri Light"/>
          <w:sz w:val="24"/>
          <w:szCs w:val="24"/>
        </w:rPr>
        <w:t xml:space="preserve">emission characteristics and ballistic conduction behaviors of CNTs deposited in the trenches and holes are addressed to determine electronic performance. </w:t>
      </w:r>
    </w:p>
    <w:p w14:paraId="586ECBA3" w14:textId="77777777" w:rsidR="00D43BE6" w:rsidRPr="009D1D9D" w:rsidRDefault="00D43BE6" w:rsidP="00D43BE6">
      <w:pPr>
        <w:spacing w:before="240"/>
        <w:jc w:val="both"/>
        <w:rPr>
          <w:rFonts w:ascii="Calibri Light" w:hAnsi="Calibri Light" w:cs="Calibri Light"/>
          <w:sz w:val="20"/>
        </w:rPr>
      </w:pPr>
      <w:r w:rsidRPr="009D1D9D">
        <w:rPr>
          <w:rFonts w:ascii="Calibri Light" w:hAnsi="Calibri Light" w:cs="Calibri Light"/>
          <w:bCs/>
          <w:sz w:val="20"/>
        </w:rPr>
        <w:t>Keywords</w:t>
      </w:r>
      <w:r w:rsidRPr="009D1D9D">
        <w:rPr>
          <w:rFonts w:ascii="Calibri Light" w:hAnsi="Calibri Light" w:cs="Calibri Light"/>
          <w:sz w:val="20"/>
        </w:rPr>
        <w:t xml:space="preserve">: </w:t>
      </w:r>
      <w:proofErr w:type="spellStart"/>
      <w:r w:rsidRPr="009D1D9D">
        <w:rPr>
          <w:rFonts w:ascii="Calibri Light" w:hAnsi="Calibri Light" w:cs="Calibri Light"/>
          <w:sz w:val="20"/>
        </w:rPr>
        <w:t>nanoelectronic</w:t>
      </w:r>
      <w:proofErr w:type="spellEnd"/>
      <w:r w:rsidRPr="009D1D9D">
        <w:rPr>
          <w:rFonts w:ascii="Calibri Light" w:hAnsi="Calibri Light" w:cs="Calibri Light"/>
          <w:sz w:val="20"/>
        </w:rPr>
        <w:t xml:space="preserve"> device, graphene, carbon nanotube, </w:t>
      </w:r>
      <w:proofErr w:type="gramStart"/>
      <w:r w:rsidRPr="009D1D9D">
        <w:rPr>
          <w:rFonts w:ascii="Calibri Light" w:hAnsi="Calibri Light" w:cs="Calibri Light"/>
          <w:sz w:val="20"/>
        </w:rPr>
        <w:t>2 dimension</w:t>
      </w:r>
      <w:proofErr w:type="gramEnd"/>
      <w:r w:rsidRPr="009D1D9D">
        <w:rPr>
          <w:rFonts w:ascii="Calibri Light" w:hAnsi="Calibri Light" w:cs="Calibri Light"/>
          <w:sz w:val="20"/>
        </w:rPr>
        <w:t xml:space="preserve">, 1 dimension, </w:t>
      </w:r>
      <w:proofErr w:type="spellStart"/>
      <w:r w:rsidRPr="009D1D9D">
        <w:rPr>
          <w:rFonts w:ascii="Calibri Light" w:hAnsi="Calibri Light" w:cs="Calibri Light"/>
          <w:sz w:val="20"/>
        </w:rPr>
        <w:t>nano</w:t>
      </w:r>
      <w:proofErr w:type="spellEnd"/>
      <w:r w:rsidRPr="009D1D9D">
        <w:rPr>
          <w:rFonts w:ascii="Calibri Light" w:hAnsi="Calibri Light" w:cs="Calibri Light"/>
          <w:sz w:val="20"/>
        </w:rPr>
        <w:t xml:space="preserve"> scale characterization.</w:t>
      </w:r>
    </w:p>
    <w:tbl>
      <w:tblPr>
        <w:tblW w:w="0" w:type="auto"/>
        <w:tblLook w:val="04A0" w:firstRow="1" w:lastRow="0" w:firstColumn="1" w:lastColumn="0" w:noHBand="0" w:noVBand="1"/>
      </w:tblPr>
      <w:tblGrid>
        <w:gridCol w:w="4511"/>
      </w:tblGrid>
      <w:tr w:rsidR="00D43BE6" w:rsidRPr="009D1D9D" w14:paraId="2DC855E7" w14:textId="77777777" w:rsidTr="006B40A6">
        <w:tc>
          <w:tcPr>
            <w:tcW w:w="4511" w:type="dxa"/>
            <w:shd w:val="clear" w:color="auto" w:fill="auto"/>
          </w:tcPr>
          <w:p w14:paraId="2D870F46" w14:textId="22291235" w:rsidR="00D43BE6" w:rsidRPr="009D1D9D" w:rsidRDefault="009D1D9D" w:rsidP="006B40A6">
            <w:pPr>
              <w:autoSpaceDE w:val="0"/>
              <w:autoSpaceDN w:val="0"/>
              <w:snapToGrid w:val="0"/>
              <w:spacing w:before="240" w:line="227" w:lineRule="exact"/>
              <w:jc w:val="both"/>
              <w:rPr>
                <w:rFonts w:ascii="Calibri Light" w:eastAsia="Arial Unicode MS" w:hAnsi="Calibri Light" w:cs="Calibri Light"/>
                <w:noProof/>
                <w:sz w:val="20"/>
              </w:rPr>
            </w:pPr>
            <w:r>
              <w:rPr>
                <w:rFonts w:ascii="Calibri Light" w:eastAsia="Arial Unicode MS" w:hAnsi="Calibri Light" w:cs="Calibri Light"/>
                <w:noProof/>
                <w:sz w:val="20"/>
              </w:rPr>
              <w:drawing>
                <wp:anchor distT="0" distB="0" distL="114300" distR="114300" simplePos="0" relativeHeight="251658240" behindDoc="0" locked="0" layoutInCell="1" allowOverlap="1" wp14:anchorId="1D3C9E86" wp14:editId="2B9BE949">
                  <wp:simplePos x="0" y="0"/>
                  <wp:positionH relativeFrom="column">
                    <wp:posOffset>2540</wp:posOffset>
                  </wp:positionH>
                  <wp:positionV relativeFrom="paragraph">
                    <wp:posOffset>0</wp:posOffset>
                  </wp:positionV>
                  <wp:extent cx="2664460" cy="3907790"/>
                  <wp:effectExtent l="0" t="0" r="254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4460" cy="3907790"/>
                          </a:xfrm>
                          <a:prstGeom prst="rect">
                            <a:avLst/>
                          </a:prstGeom>
                          <a:noFill/>
                        </pic:spPr>
                      </pic:pic>
                    </a:graphicData>
                  </a:graphic>
                  <wp14:sizeRelH relativeFrom="page">
                    <wp14:pctWidth>0</wp14:pctWidth>
                  </wp14:sizeRelH>
                  <wp14:sizeRelV relativeFrom="page">
                    <wp14:pctHeight>0</wp14:pctHeight>
                  </wp14:sizeRelV>
                </wp:anchor>
              </w:drawing>
            </w:r>
          </w:p>
          <w:p w14:paraId="02F28AED" w14:textId="77777777" w:rsidR="00D43BE6" w:rsidRPr="009D1D9D" w:rsidRDefault="00D43BE6" w:rsidP="006B40A6">
            <w:pPr>
              <w:autoSpaceDE w:val="0"/>
              <w:autoSpaceDN w:val="0"/>
              <w:snapToGrid w:val="0"/>
              <w:spacing w:before="240" w:line="227" w:lineRule="exact"/>
              <w:jc w:val="both"/>
              <w:rPr>
                <w:rFonts w:ascii="Calibri Light" w:eastAsia="Arial Unicode MS" w:hAnsi="Calibri Light" w:cs="Calibri Light"/>
                <w:sz w:val="20"/>
              </w:rPr>
            </w:pPr>
            <w:r w:rsidRPr="009D1D9D">
              <w:rPr>
                <w:rFonts w:ascii="Calibri Light" w:eastAsia="Arial Unicode MS" w:hAnsi="Calibri Light" w:cs="Calibri Light"/>
                <w:sz w:val="20"/>
              </w:rPr>
              <w:t>Fig. 1 Schematic diagram of horizontal CNTs growth on parallel Ni islands. (b), (c) Corresponding SEM images of horizontal CNTs growth in between two islands.</w:t>
            </w:r>
          </w:p>
        </w:tc>
      </w:tr>
    </w:tbl>
    <w:p w14:paraId="79945469" w14:textId="04836ACC" w:rsidR="00D43BE6" w:rsidRPr="009D1D9D" w:rsidRDefault="00D43BE6" w:rsidP="00D43BE6">
      <w:pPr>
        <w:spacing w:before="120"/>
        <w:ind w:right="40"/>
        <w:jc w:val="both"/>
        <w:rPr>
          <w:rFonts w:ascii="Calibri Light" w:hAnsi="Calibri Light" w:cs="Calibri Light"/>
          <w:noProof/>
          <w:sz w:val="20"/>
        </w:rPr>
      </w:pPr>
      <w:r w:rsidRPr="009D1D9D">
        <w:rPr>
          <w:rFonts w:ascii="Calibri Light" w:hAnsi="Calibri Light" w:cs="Calibri Light"/>
          <w:noProof/>
          <w:sz w:val="20"/>
        </w:rPr>
        <w:lastRenderedPageBreak/>
        <w:drawing>
          <wp:inline distT="0" distB="0" distL="0" distR="0" wp14:anchorId="32E74201" wp14:editId="66D13FA4">
            <wp:extent cx="3165475" cy="21532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b="9062"/>
                    <a:stretch>
                      <a:fillRect/>
                    </a:stretch>
                  </pic:blipFill>
                  <pic:spPr bwMode="auto">
                    <a:xfrm>
                      <a:off x="0" y="0"/>
                      <a:ext cx="3165475" cy="2153285"/>
                    </a:xfrm>
                    <a:prstGeom prst="rect">
                      <a:avLst/>
                    </a:prstGeom>
                    <a:noFill/>
                    <a:ln>
                      <a:noFill/>
                    </a:ln>
                  </pic:spPr>
                </pic:pic>
              </a:graphicData>
            </a:graphic>
          </wp:inline>
        </w:drawing>
      </w:r>
    </w:p>
    <w:p w14:paraId="4A773AA7" w14:textId="77777777" w:rsidR="00D43BE6" w:rsidRPr="009D1D9D" w:rsidRDefault="00D43BE6" w:rsidP="00D43BE6">
      <w:pPr>
        <w:spacing w:before="120"/>
        <w:ind w:right="40"/>
        <w:jc w:val="both"/>
        <w:rPr>
          <w:rFonts w:ascii="Calibri Light" w:hAnsi="Calibri Light" w:cs="Calibri Light"/>
          <w:sz w:val="20"/>
          <w:lang w:val="en-GB"/>
        </w:rPr>
      </w:pPr>
    </w:p>
    <w:p w14:paraId="5B11F1E8" w14:textId="77777777" w:rsidR="00D43BE6" w:rsidRPr="009D1D9D" w:rsidRDefault="00D43BE6" w:rsidP="00D43BE6">
      <w:pPr>
        <w:spacing w:before="120"/>
        <w:ind w:right="40"/>
        <w:jc w:val="both"/>
        <w:rPr>
          <w:rFonts w:ascii="Calibri Light" w:hAnsi="Calibri Light" w:cs="Calibri Light"/>
          <w:sz w:val="20"/>
        </w:rPr>
      </w:pPr>
      <w:r w:rsidRPr="009D1D9D">
        <w:rPr>
          <w:rFonts w:ascii="Calibri Light" w:hAnsi="Calibri Light" w:cs="Calibri Light"/>
          <w:sz w:val="20"/>
          <w:lang w:val="en-GB"/>
        </w:rPr>
        <w:t xml:space="preserve">Figure 2: </w:t>
      </w:r>
      <w:r w:rsidRPr="009D1D9D">
        <w:rPr>
          <w:rFonts w:ascii="Calibri Light" w:hAnsi="Calibri Light" w:cs="Calibri Light"/>
          <w:sz w:val="20"/>
        </w:rPr>
        <w:t>The ﬁeld emission J–E plots of the Si–C–N ﬁlms for (a) Samples 1 and 2, (b) Samples3 and 4, (c) Samples 5 and 6, (d) Samples 7 and 8.</w:t>
      </w:r>
    </w:p>
    <w:p w14:paraId="5A7A37EF" w14:textId="638959C8" w:rsidR="00D43BE6" w:rsidRPr="009D1D9D" w:rsidRDefault="00D43BE6" w:rsidP="00D43BE6">
      <w:pPr>
        <w:spacing w:before="120"/>
        <w:ind w:right="40"/>
        <w:jc w:val="both"/>
        <w:rPr>
          <w:rFonts w:ascii="Calibri Light" w:hAnsi="Calibri Light" w:cs="Calibri Light"/>
          <w:noProof/>
        </w:rPr>
      </w:pPr>
      <w:r w:rsidRPr="009D1D9D">
        <w:rPr>
          <w:rFonts w:ascii="Calibri Light" w:hAnsi="Calibri Light" w:cs="Calibri Light"/>
          <w:noProof/>
        </w:rPr>
        <w:drawing>
          <wp:inline distT="0" distB="0" distL="0" distR="0" wp14:anchorId="6CDBE7D8" wp14:editId="6EF5B764">
            <wp:extent cx="2887980" cy="86868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b="5307"/>
                    <a:stretch>
                      <a:fillRect/>
                    </a:stretch>
                  </pic:blipFill>
                  <pic:spPr bwMode="auto">
                    <a:xfrm>
                      <a:off x="0" y="0"/>
                      <a:ext cx="2887980" cy="868680"/>
                    </a:xfrm>
                    <a:prstGeom prst="rect">
                      <a:avLst/>
                    </a:prstGeom>
                    <a:noFill/>
                    <a:ln>
                      <a:noFill/>
                    </a:ln>
                  </pic:spPr>
                </pic:pic>
              </a:graphicData>
            </a:graphic>
          </wp:inline>
        </w:drawing>
      </w:r>
    </w:p>
    <w:p w14:paraId="1DC09FD2" w14:textId="32C1DB91" w:rsidR="00D43BE6" w:rsidRPr="009D1D9D" w:rsidRDefault="00D43BE6" w:rsidP="009D1D9D">
      <w:pPr>
        <w:spacing w:before="120"/>
        <w:ind w:right="40"/>
        <w:jc w:val="center"/>
        <w:rPr>
          <w:rFonts w:ascii="Calibri Light" w:hAnsi="Calibri Light" w:cs="Calibri Light"/>
          <w:noProof/>
          <w:sz w:val="20"/>
        </w:rPr>
      </w:pPr>
      <w:r w:rsidRPr="009D1D9D">
        <w:rPr>
          <w:rFonts w:ascii="Calibri Light" w:hAnsi="Calibri Light" w:cs="Calibri Light"/>
          <w:noProof/>
        </w:rPr>
        <w:drawing>
          <wp:inline distT="0" distB="0" distL="0" distR="0" wp14:anchorId="4B5A2E3F" wp14:editId="7914EC80">
            <wp:extent cx="2506980" cy="204216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6980" cy="2042160"/>
                    </a:xfrm>
                    <a:prstGeom prst="rect">
                      <a:avLst/>
                    </a:prstGeom>
                    <a:noFill/>
                    <a:ln>
                      <a:noFill/>
                    </a:ln>
                  </pic:spPr>
                </pic:pic>
              </a:graphicData>
            </a:graphic>
          </wp:inline>
        </w:drawing>
      </w:r>
    </w:p>
    <w:p w14:paraId="01C00685" w14:textId="77777777" w:rsidR="00D43BE6" w:rsidRPr="009D1D9D" w:rsidRDefault="00D43BE6" w:rsidP="00D43BE6">
      <w:pPr>
        <w:spacing w:before="120"/>
        <w:ind w:right="40"/>
        <w:jc w:val="both"/>
        <w:rPr>
          <w:rFonts w:ascii="Calibri Light" w:hAnsi="Calibri Light" w:cs="Calibri Light"/>
          <w:noProof/>
          <w:sz w:val="20"/>
        </w:rPr>
      </w:pPr>
      <w:r w:rsidRPr="009D1D9D">
        <w:rPr>
          <w:rFonts w:ascii="Calibri Light" w:hAnsi="Calibri Light" w:cs="Calibri Light"/>
          <w:noProof/>
          <w:sz w:val="20"/>
        </w:rPr>
        <w:t>Fig. 3  Process ﬂows of forming CNTs on Fe trench arrays, oxide ﬁlm deposition→Fe ﬁlm deposition→dry etching→CNTs growth Fe assisted CNTs deposition on trench array in low and high magniﬁcation. Fe assisted CNTs deposition (b) trench arrays (c) high magniﬁcation.</w:t>
      </w:r>
    </w:p>
    <w:p w14:paraId="6C36AD7C" w14:textId="77777777" w:rsidR="009D1D9D" w:rsidRDefault="009D1D9D" w:rsidP="00D43BE6">
      <w:pPr>
        <w:spacing w:before="120"/>
        <w:ind w:right="40"/>
        <w:jc w:val="both"/>
        <w:rPr>
          <w:rFonts w:ascii="Arial" w:hAnsi="Arial" w:cs="Arial"/>
          <w:b/>
          <w:color w:val="E36C0A" w:themeColor="accent6" w:themeShade="BF"/>
          <w:sz w:val="20"/>
          <w:szCs w:val="20"/>
          <w:lang w:val="en-GB"/>
        </w:rPr>
      </w:pPr>
    </w:p>
    <w:p w14:paraId="0C1DECF8" w14:textId="77777777" w:rsidR="009D1D9D" w:rsidRDefault="009D1D9D" w:rsidP="00D43BE6">
      <w:pPr>
        <w:spacing w:before="120"/>
        <w:ind w:right="40"/>
        <w:jc w:val="both"/>
        <w:rPr>
          <w:rFonts w:ascii="Arial" w:hAnsi="Arial" w:cs="Arial"/>
          <w:b/>
          <w:color w:val="E36C0A" w:themeColor="accent6" w:themeShade="BF"/>
          <w:sz w:val="20"/>
          <w:szCs w:val="20"/>
          <w:lang w:val="en-GB"/>
        </w:rPr>
      </w:pPr>
    </w:p>
    <w:p w14:paraId="1077F6D8" w14:textId="77777777" w:rsidR="009D1D9D" w:rsidRDefault="009D1D9D" w:rsidP="00D43BE6">
      <w:pPr>
        <w:spacing w:before="120"/>
        <w:ind w:right="40"/>
        <w:jc w:val="both"/>
        <w:rPr>
          <w:rFonts w:ascii="Arial" w:hAnsi="Arial" w:cs="Arial"/>
          <w:b/>
          <w:color w:val="E36C0A" w:themeColor="accent6" w:themeShade="BF"/>
          <w:sz w:val="20"/>
          <w:szCs w:val="20"/>
          <w:lang w:val="en-GB"/>
        </w:rPr>
      </w:pPr>
    </w:p>
    <w:p w14:paraId="371A8399" w14:textId="77777777" w:rsidR="009D1D9D" w:rsidRDefault="009D1D9D" w:rsidP="00D43BE6">
      <w:pPr>
        <w:spacing w:before="120"/>
        <w:ind w:right="40"/>
        <w:jc w:val="both"/>
        <w:rPr>
          <w:rFonts w:ascii="Arial" w:hAnsi="Arial" w:cs="Arial"/>
          <w:b/>
          <w:color w:val="E36C0A" w:themeColor="accent6" w:themeShade="BF"/>
          <w:sz w:val="20"/>
          <w:szCs w:val="20"/>
          <w:lang w:val="en-GB"/>
        </w:rPr>
      </w:pPr>
    </w:p>
    <w:p w14:paraId="5BB51551" w14:textId="77777777" w:rsidR="009D1D9D" w:rsidRDefault="009D1D9D" w:rsidP="00D43BE6">
      <w:pPr>
        <w:spacing w:before="120"/>
        <w:ind w:right="40"/>
        <w:jc w:val="both"/>
        <w:rPr>
          <w:rFonts w:ascii="Arial" w:hAnsi="Arial" w:cs="Arial"/>
          <w:b/>
          <w:color w:val="E36C0A" w:themeColor="accent6" w:themeShade="BF"/>
          <w:sz w:val="20"/>
          <w:szCs w:val="20"/>
          <w:lang w:val="en-GB"/>
        </w:rPr>
      </w:pPr>
    </w:p>
    <w:p w14:paraId="07950F4A" w14:textId="77777777" w:rsidR="009D1D9D" w:rsidRDefault="009D1D9D" w:rsidP="00D43BE6">
      <w:pPr>
        <w:spacing w:before="120"/>
        <w:ind w:right="40"/>
        <w:jc w:val="both"/>
        <w:rPr>
          <w:rFonts w:ascii="Arial" w:hAnsi="Arial" w:cs="Arial"/>
          <w:b/>
          <w:color w:val="E36C0A" w:themeColor="accent6" w:themeShade="BF"/>
          <w:sz w:val="20"/>
          <w:szCs w:val="20"/>
          <w:lang w:val="en-GB"/>
        </w:rPr>
      </w:pPr>
    </w:p>
    <w:p w14:paraId="2CB13A44" w14:textId="77777777" w:rsidR="009D1D9D" w:rsidRDefault="009D1D9D" w:rsidP="00D43BE6">
      <w:pPr>
        <w:spacing w:before="120"/>
        <w:ind w:right="40"/>
        <w:jc w:val="both"/>
        <w:rPr>
          <w:rFonts w:ascii="Arial" w:hAnsi="Arial" w:cs="Arial"/>
          <w:b/>
          <w:color w:val="E36C0A" w:themeColor="accent6" w:themeShade="BF"/>
          <w:sz w:val="20"/>
          <w:szCs w:val="20"/>
          <w:lang w:val="en-GB"/>
        </w:rPr>
      </w:pPr>
    </w:p>
    <w:p w14:paraId="11F7DD8D" w14:textId="77777777" w:rsidR="009D1D9D" w:rsidRDefault="009D1D9D" w:rsidP="00D43BE6">
      <w:pPr>
        <w:spacing w:before="120"/>
        <w:ind w:right="40"/>
        <w:jc w:val="both"/>
        <w:rPr>
          <w:rFonts w:ascii="Arial" w:hAnsi="Arial" w:cs="Arial"/>
          <w:b/>
          <w:color w:val="E36C0A" w:themeColor="accent6" w:themeShade="BF"/>
          <w:sz w:val="20"/>
          <w:szCs w:val="20"/>
          <w:lang w:val="en-GB"/>
        </w:rPr>
      </w:pPr>
    </w:p>
    <w:p w14:paraId="7B38D078" w14:textId="77777777" w:rsidR="009D1D9D" w:rsidRDefault="009D1D9D" w:rsidP="00D43BE6">
      <w:pPr>
        <w:spacing w:before="120"/>
        <w:ind w:right="40"/>
        <w:jc w:val="both"/>
        <w:rPr>
          <w:rFonts w:ascii="Arial" w:hAnsi="Arial" w:cs="Arial"/>
          <w:b/>
          <w:color w:val="E36C0A" w:themeColor="accent6" w:themeShade="BF"/>
          <w:sz w:val="20"/>
          <w:szCs w:val="20"/>
          <w:lang w:val="en-GB"/>
        </w:rPr>
      </w:pPr>
    </w:p>
    <w:p w14:paraId="6E3075FE" w14:textId="77777777" w:rsidR="009D1D9D" w:rsidRDefault="009D1D9D" w:rsidP="00D43BE6">
      <w:pPr>
        <w:spacing w:before="120"/>
        <w:ind w:right="40"/>
        <w:jc w:val="both"/>
        <w:rPr>
          <w:rFonts w:ascii="Arial" w:hAnsi="Arial" w:cs="Arial"/>
          <w:b/>
          <w:color w:val="E36C0A" w:themeColor="accent6" w:themeShade="BF"/>
          <w:sz w:val="20"/>
          <w:szCs w:val="20"/>
          <w:lang w:val="en-GB"/>
        </w:rPr>
      </w:pPr>
    </w:p>
    <w:p w14:paraId="3EC6DDE1" w14:textId="4DA280B5" w:rsidR="00D43BE6" w:rsidRPr="009D1D9D" w:rsidRDefault="00D43BE6" w:rsidP="00D43BE6">
      <w:pPr>
        <w:spacing w:before="120"/>
        <w:ind w:right="40"/>
        <w:jc w:val="both"/>
        <w:rPr>
          <w:rFonts w:ascii="Arial" w:hAnsi="Arial" w:cs="Arial"/>
          <w:b/>
          <w:color w:val="E36C0A" w:themeColor="accent6" w:themeShade="BF"/>
          <w:sz w:val="20"/>
          <w:szCs w:val="20"/>
          <w:lang w:val="en-GB"/>
        </w:rPr>
      </w:pPr>
      <w:r w:rsidRPr="009D1D9D">
        <w:rPr>
          <w:rFonts w:ascii="Arial" w:hAnsi="Arial" w:cs="Arial"/>
          <w:b/>
          <w:color w:val="E36C0A" w:themeColor="accent6" w:themeShade="BF"/>
          <w:sz w:val="20"/>
          <w:szCs w:val="20"/>
          <w:lang w:val="en-GB"/>
        </w:rPr>
        <w:t>References:</w:t>
      </w:r>
    </w:p>
    <w:p w14:paraId="6E3AD81B" w14:textId="77777777" w:rsidR="00D43BE6" w:rsidRPr="009D1D9D" w:rsidRDefault="00D43BE6" w:rsidP="00D43BE6">
      <w:pPr>
        <w:widowControl/>
        <w:numPr>
          <w:ilvl w:val="0"/>
          <w:numId w:val="4"/>
        </w:numPr>
        <w:ind w:right="42"/>
        <w:jc w:val="both"/>
        <w:rPr>
          <w:rFonts w:ascii="Calibri Light" w:hAnsi="Calibri Light" w:cs="Calibri Light"/>
          <w:sz w:val="18"/>
          <w:szCs w:val="18"/>
        </w:rPr>
      </w:pPr>
      <w:r w:rsidRPr="009D1D9D">
        <w:rPr>
          <w:rFonts w:ascii="Calibri Light" w:hAnsi="Calibri Light" w:cs="Calibri Light"/>
          <w:sz w:val="18"/>
          <w:szCs w:val="18"/>
        </w:rPr>
        <w:t xml:space="preserve">S. K. Hwang, K. D. Lee and K. H. Lee: </w:t>
      </w:r>
      <w:proofErr w:type="spellStart"/>
      <w:r w:rsidRPr="009D1D9D">
        <w:rPr>
          <w:rFonts w:ascii="Calibri Light" w:hAnsi="Calibri Light" w:cs="Calibri Light"/>
          <w:sz w:val="18"/>
          <w:szCs w:val="18"/>
        </w:rPr>
        <w:t>Jpn</w:t>
      </w:r>
      <w:proofErr w:type="spellEnd"/>
      <w:r w:rsidRPr="009D1D9D">
        <w:rPr>
          <w:rFonts w:ascii="Calibri Light" w:hAnsi="Calibri Light" w:cs="Calibri Light"/>
          <w:sz w:val="18"/>
          <w:szCs w:val="18"/>
        </w:rPr>
        <w:t xml:space="preserve">. Appl. Phys. Lett. 40 (2001) L580. </w:t>
      </w:r>
    </w:p>
    <w:p w14:paraId="62816CB5" w14:textId="77777777" w:rsidR="00D43BE6" w:rsidRPr="009D1D9D" w:rsidRDefault="00D43BE6" w:rsidP="00D43BE6">
      <w:pPr>
        <w:widowControl/>
        <w:numPr>
          <w:ilvl w:val="0"/>
          <w:numId w:val="4"/>
        </w:numPr>
        <w:ind w:right="42"/>
        <w:jc w:val="both"/>
        <w:rPr>
          <w:rFonts w:ascii="Calibri Light" w:hAnsi="Calibri Light" w:cs="Calibri Light"/>
          <w:sz w:val="18"/>
          <w:szCs w:val="18"/>
        </w:rPr>
      </w:pPr>
      <w:r w:rsidRPr="009D1D9D">
        <w:rPr>
          <w:rFonts w:ascii="Calibri Light" w:hAnsi="Calibri Light" w:cs="Calibri Light"/>
          <w:sz w:val="18"/>
          <w:szCs w:val="18"/>
        </w:rPr>
        <w:t xml:space="preserve">Y. </w:t>
      </w:r>
      <w:proofErr w:type="spellStart"/>
      <w:r w:rsidRPr="009D1D9D">
        <w:rPr>
          <w:rFonts w:ascii="Calibri Light" w:hAnsi="Calibri Light" w:cs="Calibri Light"/>
          <w:sz w:val="18"/>
          <w:szCs w:val="18"/>
        </w:rPr>
        <w:t>Avigal</w:t>
      </w:r>
      <w:proofErr w:type="spellEnd"/>
      <w:r w:rsidRPr="009D1D9D">
        <w:rPr>
          <w:rFonts w:ascii="Calibri Light" w:hAnsi="Calibri Light" w:cs="Calibri Light"/>
          <w:sz w:val="18"/>
          <w:szCs w:val="18"/>
        </w:rPr>
        <w:t xml:space="preserve"> and R. Kalish: Appl. Phys. Lett. 78 (2001) 2291.</w:t>
      </w:r>
    </w:p>
    <w:p w14:paraId="00B20A08" w14:textId="2A51B216" w:rsidR="005973B9" w:rsidRDefault="00A9710C" w:rsidP="009D1D9D">
      <w:pPr>
        <w:pStyle w:val="Heading3"/>
        <w:spacing w:before="74"/>
        <w:ind w:left="0"/>
        <w:rPr>
          <w:rFonts w:ascii="Calibri" w:hAnsi="Calibri"/>
        </w:rPr>
      </w:pPr>
      <w:r>
        <w:rPr>
          <w:b w:val="0"/>
        </w:rPr>
        <w:br w:type="column"/>
      </w:r>
    </w:p>
    <w:p w14:paraId="493796FE" w14:textId="77777777" w:rsidR="00AE3E37" w:rsidRPr="008756E6" w:rsidRDefault="00AE3E37" w:rsidP="008756E6">
      <w:pPr>
        <w:tabs>
          <w:tab w:val="left" w:pos="384"/>
        </w:tabs>
        <w:ind w:right="117"/>
      </w:pPr>
    </w:p>
    <w:p w14:paraId="74A8700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CDFAFF6" w14:textId="77777777" w:rsidR="00AE3E37" w:rsidRDefault="00AE3E37">
      <w:pPr>
        <w:pStyle w:val="BodyText"/>
        <w:rPr>
          <w:rFonts w:ascii="Calibri"/>
          <w:sz w:val="20"/>
        </w:rPr>
      </w:pPr>
    </w:p>
    <w:p w14:paraId="2C6E595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7406EC3" wp14:editId="3DE6074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ED795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0664AE1" w14:textId="46736F22" w:rsidR="00AE3E37" w:rsidRDefault="008756E6" w:rsidP="00404E5B">
      <w:pPr>
        <w:spacing w:before="92"/>
        <w:ind w:right="4234"/>
        <w:rPr>
          <w:rFonts w:ascii="Arial"/>
        </w:rPr>
      </w:pPr>
      <w:r>
        <w:rPr>
          <w:noProof/>
        </w:rPr>
        <w:t xml:space="preserve">             </w:t>
      </w:r>
      <w:r w:rsidR="009D1D9D" w:rsidRPr="009D1D9D">
        <w:drawing>
          <wp:inline distT="0" distB="0" distL="0" distR="0" wp14:anchorId="557B3E99" wp14:editId="6CD54620">
            <wp:extent cx="1326253" cy="130302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39360" cy="1315897"/>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B59E4EA" w14:textId="7018BD7F" w:rsidR="00BA7852" w:rsidRDefault="00BA7852" w:rsidP="00BA7852">
      <w:pPr>
        <w:pStyle w:val="NormalWeb"/>
        <w:spacing w:before="0" w:beforeAutospacing="0" w:after="0" w:afterAutospacing="0" w:line="285" w:lineRule="atLeast"/>
        <w:jc w:val="both"/>
        <w:rPr>
          <w:rFonts w:ascii="&amp;quot" w:hAnsi="&amp;quot"/>
          <w:color w:val="525252"/>
          <w:sz w:val="20"/>
          <w:szCs w:val="20"/>
        </w:rPr>
      </w:pPr>
      <w:r>
        <w:rPr>
          <w:rFonts w:ascii="&amp;quot" w:hAnsi="&amp;quot"/>
          <w:color w:val="525252"/>
          <w:sz w:val="20"/>
          <w:szCs w:val="20"/>
        </w:rPr>
        <w:t xml:space="preserve">Dr. Hui-Lin Chang is currently </w:t>
      </w:r>
      <w:r w:rsidR="00B73DAE">
        <w:rPr>
          <w:rFonts w:ascii="&amp;quot" w:hAnsi="&amp;quot"/>
          <w:color w:val="525252"/>
          <w:sz w:val="20"/>
          <w:szCs w:val="20"/>
        </w:rPr>
        <w:t>working at Micron Technology</w:t>
      </w:r>
      <w:r>
        <w:rPr>
          <w:rFonts w:ascii="&amp;quot" w:hAnsi="&amp;quot"/>
          <w:color w:val="525252"/>
          <w:sz w:val="20"/>
          <w:szCs w:val="20"/>
        </w:rPr>
        <w:t xml:space="preserve">. Her previous work experience includes working in </w:t>
      </w:r>
      <w:r w:rsidR="00B73DAE">
        <w:rPr>
          <w:rFonts w:ascii="&amp;quot" w:hAnsi="&amp;quot"/>
          <w:color w:val="525252"/>
          <w:sz w:val="20"/>
          <w:szCs w:val="20"/>
        </w:rPr>
        <w:t xml:space="preserve">GlobalFoundries as Senior Member of Technical Staff, </w:t>
      </w:r>
      <w:bookmarkStart w:id="0" w:name="_GoBack"/>
      <w:bookmarkEnd w:id="0"/>
      <w:r>
        <w:rPr>
          <w:rFonts w:ascii="&amp;quot" w:hAnsi="&amp;quot"/>
          <w:color w:val="525252"/>
          <w:sz w:val="20"/>
          <w:szCs w:val="20"/>
        </w:rPr>
        <w:t xml:space="preserve">Samsung Electronics in South Korea as a Principal Engineer and Taiwan Semiconductor Manufacturing Co. Ltd. (TSMC) as a Technical Manager in </w:t>
      </w:r>
      <w:proofErr w:type="spellStart"/>
      <w:r>
        <w:rPr>
          <w:rFonts w:ascii="&amp;quot" w:hAnsi="&amp;quot"/>
          <w:color w:val="525252"/>
          <w:sz w:val="20"/>
          <w:szCs w:val="20"/>
        </w:rPr>
        <w:t>Hsin</w:t>
      </w:r>
      <w:proofErr w:type="spellEnd"/>
      <w:r>
        <w:rPr>
          <w:rFonts w:ascii="&amp;quot" w:hAnsi="&amp;quot"/>
          <w:color w:val="525252"/>
          <w:sz w:val="20"/>
          <w:szCs w:val="20"/>
        </w:rPr>
        <w:t xml:space="preserve"> Chu, Taiwan, as well as a Senior Researcher in National </w:t>
      </w:r>
      <w:proofErr w:type="spellStart"/>
      <w:r>
        <w:rPr>
          <w:rFonts w:ascii="&amp;quot" w:hAnsi="&amp;quot"/>
          <w:color w:val="525252"/>
          <w:sz w:val="20"/>
          <w:szCs w:val="20"/>
        </w:rPr>
        <w:t>Chiao</w:t>
      </w:r>
      <w:proofErr w:type="spellEnd"/>
      <w:r>
        <w:rPr>
          <w:rFonts w:ascii="&amp;quot" w:hAnsi="&amp;quot"/>
          <w:color w:val="525252"/>
          <w:sz w:val="20"/>
          <w:szCs w:val="20"/>
        </w:rPr>
        <w:t xml:space="preserve"> Tung University in Taiwan. She served as a technical program committee member at the 6th International Conference on Mechanical Science and Engineering (ICMSE2015), organized by the International Association of Applied Science and Engineering Technology (IAASET).</w:t>
      </w:r>
    </w:p>
    <w:p w14:paraId="02AFB602" w14:textId="77777777" w:rsidR="00BA7852" w:rsidRDefault="00BA7852" w:rsidP="00BA7852">
      <w:pPr>
        <w:pStyle w:val="NormalWeb"/>
        <w:spacing w:before="0" w:beforeAutospacing="0" w:after="0" w:afterAutospacing="0" w:line="285" w:lineRule="atLeast"/>
        <w:jc w:val="both"/>
        <w:rPr>
          <w:rFonts w:ascii="&amp;quot" w:hAnsi="&amp;quot"/>
          <w:color w:val="525252"/>
          <w:sz w:val="20"/>
          <w:szCs w:val="20"/>
        </w:rPr>
      </w:pPr>
      <w:r>
        <w:rPr>
          <w:rFonts w:ascii="&amp;quot" w:hAnsi="&amp;quot"/>
          <w:color w:val="525252"/>
          <w:sz w:val="20"/>
          <w:szCs w:val="20"/>
        </w:rPr>
        <w:t xml:space="preserve">Hui-Lin Chang was awarded a PhD in Material Science and Engineering from National </w:t>
      </w:r>
      <w:proofErr w:type="spellStart"/>
      <w:r>
        <w:rPr>
          <w:rFonts w:ascii="&amp;quot" w:hAnsi="&amp;quot"/>
          <w:color w:val="525252"/>
          <w:sz w:val="20"/>
          <w:szCs w:val="20"/>
        </w:rPr>
        <w:t>Chiao</w:t>
      </w:r>
      <w:proofErr w:type="spellEnd"/>
      <w:r>
        <w:rPr>
          <w:rFonts w:ascii="&amp;quot" w:hAnsi="&amp;quot"/>
          <w:color w:val="525252"/>
          <w:sz w:val="20"/>
          <w:szCs w:val="20"/>
        </w:rPr>
        <w:t xml:space="preserve"> Tung University in Taiwan in 2002. She also received an Executive Master’s degree of Business Administration (EMBA) from National </w:t>
      </w:r>
      <w:proofErr w:type="spellStart"/>
      <w:r>
        <w:rPr>
          <w:rFonts w:ascii="&amp;quot" w:hAnsi="&amp;quot"/>
          <w:color w:val="525252"/>
          <w:sz w:val="20"/>
          <w:szCs w:val="20"/>
        </w:rPr>
        <w:t>Chiao</w:t>
      </w:r>
      <w:proofErr w:type="spellEnd"/>
      <w:r>
        <w:rPr>
          <w:rFonts w:ascii="&amp;quot" w:hAnsi="&amp;quot"/>
          <w:color w:val="525252"/>
          <w:sz w:val="20"/>
          <w:szCs w:val="20"/>
        </w:rPr>
        <w:t xml:space="preserve"> Tung University and the University of California – Berkeley in 2010. In addition, in 2016, she was designated a Stanford Certified Project Manager by the Stanford University Center for Professional Development.</w:t>
      </w:r>
    </w:p>
    <w:p w14:paraId="29E62BC4" w14:textId="77777777" w:rsidR="00BA7852" w:rsidRDefault="00BA7852" w:rsidP="00BA7852">
      <w:pPr>
        <w:pStyle w:val="NormalWeb"/>
        <w:spacing w:before="0" w:beforeAutospacing="0" w:after="0" w:afterAutospacing="0" w:line="285" w:lineRule="atLeast"/>
        <w:jc w:val="both"/>
        <w:rPr>
          <w:rFonts w:ascii="&amp;quot" w:hAnsi="&amp;quot"/>
          <w:color w:val="525252"/>
          <w:sz w:val="20"/>
          <w:szCs w:val="20"/>
        </w:rPr>
      </w:pPr>
      <w:r>
        <w:rPr>
          <w:rFonts w:ascii="&amp;quot" w:hAnsi="&amp;quot"/>
          <w:color w:val="525252"/>
          <w:sz w:val="20"/>
          <w:szCs w:val="20"/>
        </w:rPr>
        <w:t xml:space="preserve">Hui-Lin Chang has been awarded 24 patents by the U.S. Patent and Trademark Office (USPTO), many of which have also been published by the USPTO's counterpart in China, the State Intellectual Property Office (SIPO). In addition to her many granted patents, she is a named inventor of 10 pending patent applications. Hui-Lin Chang’s contributions to the existing academic literature and industrial practices related to fracture mechanisms of </w:t>
      </w:r>
      <w:proofErr w:type="spellStart"/>
      <w:r>
        <w:rPr>
          <w:rFonts w:ascii="&amp;quot" w:hAnsi="&amp;quot"/>
          <w:color w:val="525252"/>
          <w:sz w:val="20"/>
          <w:szCs w:val="20"/>
        </w:rPr>
        <w:t>nanoelectronic</w:t>
      </w:r>
      <w:proofErr w:type="spellEnd"/>
      <w:r>
        <w:rPr>
          <w:rFonts w:ascii="&amp;quot" w:hAnsi="&amp;quot"/>
          <w:color w:val="525252"/>
          <w:sz w:val="20"/>
          <w:szCs w:val="20"/>
        </w:rPr>
        <w:t xml:space="preserve"> devices, </w:t>
      </w:r>
      <w:proofErr w:type="gramStart"/>
      <w:r>
        <w:rPr>
          <w:rFonts w:ascii="&amp;quot" w:hAnsi="&amp;quot"/>
          <w:color w:val="525252"/>
          <w:sz w:val="20"/>
          <w:szCs w:val="20"/>
        </w:rPr>
        <w:t>in particular her</w:t>
      </w:r>
      <w:proofErr w:type="gramEnd"/>
      <w:r>
        <w:rPr>
          <w:rFonts w:ascii="&amp;quot" w:hAnsi="&amp;quot"/>
          <w:color w:val="525252"/>
          <w:sz w:val="20"/>
          <w:szCs w:val="20"/>
        </w:rPr>
        <w:t xml:space="preserve"> novel testing approaches, are truly original and significant.</w:t>
      </w:r>
    </w:p>
    <w:p w14:paraId="0C7AC97D" w14:textId="4723DDE1" w:rsidR="00AE3E37" w:rsidRDefault="00A9710C">
      <w:pPr>
        <w:spacing w:before="62"/>
        <w:ind w:left="4217" w:right="4235"/>
        <w:jc w:val="center"/>
        <w:rPr>
          <w:rFonts w:ascii="Arial"/>
          <w:sz w:val="14"/>
        </w:rPr>
      </w:pPr>
      <w:r>
        <w:rPr>
          <w:rFonts w:ascii="Arial"/>
          <w:sz w:val="14"/>
        </w:rPr>
        <w:t xml:space="preserve">Email: </w:t>
      </w:r>
      <w:hyperlink r:id="rId14" w:history="1">
        <w:r w:rsidR="005D53A4" w:rsidRPr="000C539A">
          <w:rPr>
            <w:rStyle w:val="Hyperlink"/>
            <w:rFonts w:ascii="Arial"/>
            <w:sz w:val="14"/>
          </w:rPr>
          <w:t>gladies.chang@gmail.com</w:t>
        </w:r>
      </w:hyperlink>
    </w:p>
    <w:p w14:paraId="5D9077B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3336325" wp14:editId="756F6AD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60B44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A4D368B" w14:textId="77777777" w:rsidR="00AE3E37" w:rsidRDefault="00AE3E37">
      <w:pPr>
        <w:pStyle w:val="BodyText"/>
        <w:rPr>
          <w:rFonts w:ascii="Arial"/>
          <w:sz w:val="20"/>
        </w:rPr>
      </w:pPr>
    </w:p>
    <w:p w14:paraId="4F323987" w14:textId="77777777" w:rsidR="00AE3E37" w:rsidRDefault="00AE3E37">
      <w:pPr>
        <w:pStyle w:val="BodyText"/>
        <w:rPr>
          <w:rFonts w:ascii="Arial"/>
          <w:sz w:val="20"/>
        </w:rPr>
      </w:pPr>
    </w:p>
    <w:p w14:paraId="54D5D160" w14:textId="77777777" w:rsidR="00AE3E37" w:rsidRDefault="00AE3E37">
      <w:pPr>
        <w:pStyle w:val="BodyText"/>
        <w:spacing w:before="7"/>
        <w:rPr>
          <w:rFonts w:ascii="Arial"/>
          <w:sz w:val="29"/>
        </w:rPr>
      </w:pPr>
    </w:p>
    <w:p w14:paraId="29CE27D8" w14:textId="77777777" w:rsidR="00AE3E37" w:rsidRPr="00B21A57" w:rsidRDefault="00A9710C">
      <w:pPr>
        <w:spacing w:before="39"/>
        <w:ind w:left="100"/>
        <w:rPr>
          <w:rFonts w:ascii="Minion Pro"/>
          <w:b/>
          <w:sz w:val="20"/>
        </w:rPr>
      </w:pPr>
      <w:r w:rsidRPr="00B21A57">
        <w:rPr>
          <w:rFonts w:ascii="Minion Pro"/>
          <w:b/>
          <w:sz w:val="20"/>
        </w:rPr>
        <w:t>Notes/Comments:</w:t>
      </w:r>
    </w:p>
    <w:p w14:paraId="64DB466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B28114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E80CE" w14:textId="77777777" w:rsidR="00F75438" w:rsidRDefault="00F75438">
      <w:r>
        <w:separator/>
      </w:r>
    </w:p>
  </w:endnote>
  <w:endnote w:type="continuationSeparator" w:id="0">
    <w:p w14:paraId="63E61B86" w14:textId="77777777" w:rsidR="00F75438" w:rsidRDefault="00F75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0384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3E89F39" wp14:editId="6E3130D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EFC9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CDF08C" w14:textId="77777777" w:rsidR="00AE3E37" w:rsidRPr="005D53A4" w:rsidRDefault="00A9710C">
                          <w:pPr>
                            <w:spacing w:before="8"/>
                            <w:ind w:left="20" w:right="-12"/>
                            <w:rPr>
                              <w:rFonts w:ascii="Arial"/>
                              <w:b/>
                              <w:color w:val="FFFFFF" w:themeColor="background1"/>
                              <w:sz w:val="16"/>
                            </w:rPr>
                          </w:pPr>
                          <w:r w:rsidRPr="005D53A4">
                            <w:rPr>
                              <w:rFonts w:ascii="Arial"/>
                              <w:b/>
                              <w:color w:val="FFFFFF" w:themeColor="background1"/>
                              <w:sz w:val="16"/>
                            </w:rPr>
                            <w:t xml:space="preserve">ISSN: </w:t>
                          </w:r>
                          <w:r w:rsidRPr="005D53A4">
                            <w:rPr>
                              <w:rFonts w:ascii="Arial"/>
                              <w:b/>
                              <w:sz w:val="16"/>
                            </w:rPr>
                            <w:t xml:space="preserve">2167-0846 JPAR an open access </w:t>
                          </w:r>
                          <w:proofErr w:type="spellStart"/>
                          <w:r w:rsidRPr="005D53A4">
                            <w:rPr>
                              <w:rFonts w:ascii="Arial"/>
                              <w:b/>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89F3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F1EFC9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CDF08C" w14:textId="77777777" w:rsidR="00AE3E37" w:rsidRPr="005D53A4" w:rsidRDefault="00A9710C">
                    <w:pPr>
                      <w:spacing w:before="8"/>
                      <w:ind w:left="20" w:right="-12"/>
                      <w:rPr>
                        <w:rFonts w:ascii="Arial"/>
                        <w:b/>
                        <w:color w:val="FFFFFF" w:themeColor="background1"/>
                        <w:sz w:val="16"/>
                      </w:rPr>
                    </w:pPr>
                    <w:r w:rsidRPr="005D53A4">
                      <w:rPr>
                        <w:rFonts w:ascii="Arial"/>
                        <w:b/>
                        <w:color w:val="FFFFFF" w:themeColor="background1"/>
                        <w:sz w:val="16"/>
                      </w:rPr>
                      <w:t xml:space="preserve">ISSN: </w:t>
                    </w:r>
                    <w:r w:rsidRPr="005D53A4">
                      <w:rPr>
                        <w:rFonts w:ascii="Arial"/>
                        <w:b/>
                        <w:sz w:val="16"/>
                      </w:rPr>
                      <w:t xml:space="preserve">2167-0846 JPAR an open access </w:t>
                    </w:r>
                    <w:proofErr w:type="spellStart"/>
                    <w:r w:rsidRPr="005D53A4">
                      <w:rPr>
                        <w:rFonts w:ascii="Arial"/>
                        <w:b/>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02B677E" wp14:editId="4C2E406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F2D6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37D35E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B677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7FF2D6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37D35E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568FA4C" wp14:editId="4756F16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78EC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1BDF1B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8FA4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BC78EC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1BDF1B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9145A8" w14:textId="77777777" w:rsidR="00F75438" w:rsidRDefault="00F75438">
      <w:r>
        <w:separator/>
      </w:r>
    </w:p>
  </w:footnote>
  <w:footnote w:type="continuationSeparator" w:id="0">
    <w:p w14:paraId="316FC85E" w14:textId="77777777" w:rsidR="00F75438" w:rsidRDefault="00F75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2181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B8C5026" wp14:editId="60EB963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7D44E" w14:textId="77777777" w:rsidR="00AE3E37" w:rsidRPr="009D1D9D" w:rsidRDefault="00A9710C">
                          <w:pPr>
                            <w:spacing w:before="2" w:line="249" w:lineRule="auto"/>
                            <w:ind w:left="156" w:right="18" w:hanging="137"/>
                            <w:rPr>
                              <w:rFonts w:ascii="Arial"/>
                              <w:sz w:val="14"/>
                            </w:rPr>
                          </w:pPr>
                          <w:r w:rsidRPr="009D1D9D">
                            <w:rPr>
                              <w:rFonts w:ascii="Arial"/>
                              <w:sz w:val="14"/>
                            </w:rPr>
                            <w:t xml:space="preserve">T </w:t>
                          </w:r>
                          <w:proofErr w:type="spellStart"/>
                          <w:r w:rsidRPr="009D1D9D">
                            <w:rPr>
                              <w:rFonts w:ascii="Arial"/>
                              <w:sz w:val="14"/>
                            </w:rPr>
                            <w:t>Furuta</w:t>
                          </w:r>
                          <w:proofErr w:type="spellEnd"/>
                          <w:r w:rsidRPr="009D1D9D">
                            <w:rPr>
                              <w:rFonts w:ascii="Arial"/>
                              <w:sz w:val="14"/>
                            </w:rPr>
                            <w:t xml:space="preserve"> et al., J Pai n Relief 2016, 5:3(Suppl) </w:t>
                          </w:r>
                          <w:hyperlink r:id="rId1">
                            <w:r w:rsidRPr="009D1D9D">
                              <w:rPr>
                                <w:rFonts w:ascii="Arial"/>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8C502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D77D44E" w14:textId="77777777" w:rsidR="00AE3E37" w:rsidRPr="009D1D9D" w:rsidRDefault="00A9710C">
                    <w:pPr>
                      <w:spacing w:before="2" w:line="249" w:lineRule="auto"/>
                      <w:ind w:left="156" w:right="18" w:hanging="137"/>
                      <w:rPr>
                        <w:rFonts w:ascii="Arial"/>
                        <w:sz w:val="14"/>
                      </w:rPr>
                    </w:pPr>
                    <w:r w:rsidRPr="009D1D9D">
                      <w:rPr>
                        <w:rFonts w:ascii="Arial"/>
                        <w:sz w:val="14"/>
                      </w:rPr>
                      <w:t xml:space="preserve">T </w:t>
                    </w:r>
                    <w:proofErr w:type="spellStart"/>
                    <w:r w:rsidRPr="009D1D9D">
                      <w:rPr>
                        <w:rFonts w:ascii="Arial"/>
                        <w:sz w:val="14"/>
                      </w:rPr>
                      <w:t>Furuta</w:t>
                    </w:r>
                    <w:proofErr w:type="spellEnd"/>
                    <w:r w:rsidRPr="009D1D9D">
                      <w:rPr>
                        <w:rFonts w:ascii="Arial"/>
                        <w:sz w:val="14"/>
                      </w:rPr>
                      <w:t xml:space="preserve"> et al., J Pai n Relief 2016, 5:3(Suppl) </w:t>
                    </w:r>
                    <w:hyperlink r:id="rId2">
                      <w:r w:rsidRPr="009D1D9D">
                        <w:rPr>
                          <w:rFonts w:ascii="Arial"/>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8EFE3ED" wp14:editId="3607CA4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1BF8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8DD59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FE3E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431BF8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8DD59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258190F"/>
    <w:multiLevelType w:val="hybridMultilevel"/>
    <w:tmpl w:val="158AB9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10F1"/>
    <w:rsid w:val="000E2911"/>
    <w:rsid w:val="001263DF"/>
    <w:rsid w:val="002455EC"/>
    <w:rsid w:val="00282D78"/>
    <w:rsid w:val="00292ED9"/>
    <w:rsid w:val="003A5D04"/>
    <w:rsid w:val="00404E5B"/>
    <w:rsid w:val="00414F7B"/>
    <w:rsid w:val="004355DC"/>
    <w:rsid w:val="004749B4"/>
    <w:rsid w:val="00494130"/>
    <w:rsid w:val="004F3523"/>
    <w:rsid w:val="005973B9"/>
    <w:rsid w:val="005B3A56"/>
    <w:rsid w:val="005D53A4"/>
    <w:rsid w:val="006060CE"/>
    <w:rsid w:val="0063497F"/>
    <w:rsid w:val="006648A0"/>
    <w:rsid w:val="00873DF0"/>
    <w:rsid w:val="008756E6"/>
    <w:rsid w:val="008A08B6"/>
    <w:rsid w:val="009B2D44"/>
    <w:rsid w:val="009D1D9D"/>
    <w:rsid w:val="00A07E82"/>
    <w:rsid w:val="00A9710C"/>
    <w:rsid w:val="00AE3E37"/>
    <w:rsid w:val="00B21A57"/>
    <w:rsid w:val="00B3012E"/>
    <w:rsid w:val="00B73DAE"/>
    <w:rsid w:val="00BA7852"/>
    <w:rsid w:val="00C33602"/>
    <w:rsid w:val="00CD6F55"/>
    <w:rsid w:val="00D43BE6"/>
    <w:rsid w:val="00DE3104"/>
    <w:rsid w:val="00E26B10"/>
    <w:rsid w:val="00F72EEA"/>
    <w:rsid w:val="00F75438"/>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3B742E"/>
  <w15:docId w15:val="{932FA5AA-F5BD-46DF-A7E4-37A9C1ED4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A5D04"/>
    <w:rPr>
      <w:color w:val="605E5C"/>
      <w:shd w:val="clear" w:color="auto" w:fill="E1DFDD"/>
    </w:rPr>
  </w:style>
  <w:style w:type="paragraph" w:styleId="NormalWeb">
    <w:name w:val="Normal (Web)"/>
    <w:basedOn w:val="Normal"/>
    <w:uiPriority w:val="99"/>
    <w:semiHidden/>
    <w:unhideWhenUsed/>
    <w:rsid w:val="00BA7852"/>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778369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gladies.chang@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gladies</cp:lastModifiedBy>
  <cp:revision>9</cp:revision>
  <dcterms:created xsi:type="dcterms:W3CDTF">2018-12-07T01:39:00Z</dcterms:created>
  <dcterms:modified xsi:type="dcterms:W3CDTF">2018-12-08T01:54:00Z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