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089" w:rsidRDefault="00665317" w:rsidP="001C33EB">
      <w:pPr>
        <w:spacing w:line="48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Engineered</w:t>
      </w:r>
      <w:r w:rsidR="00335089" w:rsidRPr="00335089">
        <w:rPr>
          <w:rFonts w:ascii="Times New Roman" w:hAnsi="Times New Roman"/>
          <w:sz w:val="32"/>
          <w:szCs w:val="32"/>
        </w:rPr>
        <w:t xml:space="preserve"> Hybrid </w:t>
      </w:r>
      <w:proofErr w:type="spellStart"/>
      <w:r w:rsidR="00335089" w:rsidRPr="00335089">
        <w:rPr>
          <w:rFonts w:ascii="Times New Roman" w:hAnsi="Times New Roman"/>
          <w:sz w:val="32"/>
          <w:szCs w:val="32"/>
        </w:rPr>
        <w:t>Nano</w:t>
      </w:r>
      <w:r>
        <w:rPr>
          <w:rFonts w:ascii="Times New Roman" w:hAnsi="Times New Roman"/>
          <w:sz w:val="32"/>
          <w:szCs w:val="32"/>
        </w:rPr>
        <w:t>architect</w:t>
      </w:r>
      <w:proofErr w:type="spellEnd"/>
      <w:r w:rsidR="00335089" w:rsidRPr="00335089">
        <w:rPr>
          <w:rFonts w:ascii="Times New Roman" w:hAnsi="Times New Roman"/>
          <w:sz w:val="32"/>
          <w:szCs w:val="32"/>
        </w:rPr>
        <w:t xml:space="preserve"> designed for synergistic drug delivery for solid tumor management</w:t>
      </w:r>
    </w:p>
    <w:p w:rsidR="007E1978" w:rsidRPr="00EE5B98" w:rsidRDefault="007E1978" w:rsidP="001C33EB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E5B98">
        <w:rPr>
          <w:rFonts w:ascii="Times New Roman" w:hAnsi="Times New Roman"/>
          <w:b/>
          <w:sz w:val="24"/>
          <w:szCs w:val="24"/>
        </w:rPr>
        <w:t>Madhu Gupta</w:t>
      </w:r>
    </w:p>
    <w:p w:rsidR="007E1978" w:rsidRDefault="007E1978" w:rsidP="001C33EB">
      <w:pPr>
        <w:pStyle w:val="Heading1"/>
        <w:spacing w:line="276" w:lineRule="auto"/>
        <w:rPr>
          <w:b w:val="0"/>
          <w:bCs/>
        </w:rPr>
      </w:pPr>
      <w:r w:rsidRPr="00EE5B98">
        <w:rPr>
          <w:b w:val="0"/>
          <w:bCs/>
        </w:rPr>
        <w:t xml:space="preserve">Delhi Pharmaceutical Science and Research University, </w:t>
      </w:r>
      <w:proofErr w:type="spellStart"/>
      <w:r w:rsidRPr="00EE5B98">
        <w:rPr>
          <w:b w:val="0"/>
          <w:bCs/>
        </w:rPr>
        <w:t>PushpVihar</w:t>
      </w:r>
      <w:proofErr w:type="spellEnd"/>
      <w:r w:rsidRPr="00EE5B98">
        <w:rPr>
          <w:b w:val="0"/>
          <w:bCs/>
        </w:rPr>
        <w:t xml:space="preserve"> Sector-3, MB Road, New Delhi, India-110017</w:t>
      </w:r>
    </w:p>
    <w:p w:rsidR="001C33EB" w:rsidRPr="001C33EB" w:rsidRDefault="001C33EB" w:rsidP="001C33EB">
      <w:pPr>
        <w:jc w:val="center"/>
        <w:rPr>
          <w:rFonts w:ascii="Times New Roman" w:hAnsi="Times New Roman"/>
          <w:sz w:val="24"/>
          <w:szCs w:val="24"/>
        </w:rPr>
      </w:pPr>
      <w:r w:rsidRPr="001C33EB">
        <w:rPr>
          <w:rFonts w:ascii="Times New Roman" w:hAnsi="Times New Roman"/>
          <w:sz w:val="24"/>
          <w:szCs w:val="24"/>
        </w:rPr>
        <w:t>Email:madhugupta98@gmail.com</w:t>
      </w:r>
    </w:p>
    <w:p w:rsidR="001C33EB" w:rsidRPr="001C33EB" w:rsidRDefault="001C33EB" w:rsidP="001C33EB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1C33EB">
        <w:rPr>
          <w:rFonts w:ascii="Times New Roman" w:hAnsi="Times New Roman"/>
          <w:sz w:val="24"/>
          <w:szCs w:val="24"/>
        </w:rPr>
        <w:t>Mob.</w:t>
      </w:r>
      <w:proofErr w:type="gramEnd"/>
      <w:r w:rsidRPr="001C33EB">
        <w:rPr>
          <w:rFonts w:ascii="Times New Roman" w:hAnsi="Times New Roman"/>
          <w:sz w:val="24"/>
          <w:szCs w:val="24"/>
        </w:rPr>
        <w:t xml:space="preserve"> </w:t>
      </w:r>
      <w:r w:rsidR="003F76FB">
        <w:rPr>
          <w:rFonts w:ascii="Times New Roman" w:hAnsi="Times New Roman"/>
          <w:sz w:val="24"/>
          <w:szCs w:val="24"/>
        </w:rPr>
        <w:t>+91-8770732298</w:t>
      </w:r>
    </w:p>
    <w:p w:rsidR="007E1978" w:rsidRPr="00454D2A" w:rsidRDefault="007E1978" w:rsidP="007E1978">
      <w:pPr>
        <w:spacing w:before="240" w:line="480" w:lineRule="auto"/>
        <w:rPr>
          <w:rFonts w:ascii="Times New Roman" w:hAnsi="Times New Roman"/>
          <w:b/>
          <w:sz w:val="24"/>
          <w:szCs w:val="24"/>
        </w:rPr>
      </w:pPr>
      <w:r w:rsidRPr="00454D2A">
        <w:rPr>
          <w:rFonts w:ascii="Times New Roman" w:hAnsi="Times New Roman"/>
          <w:b/>
          <w:sz w:val="24"/>
          <w:szCs w:val="24"/>
        </w:rPr>
        <w:t>Abstract</w:t>
      </w:r>
    </w:p>
    <w:p w:rsidR="007E1978" w:rsidRPr="007B2319" w:rsidRDefault="007E1978" w:rsidP="007E1978">
      <w:pPr>
        <w:autoSpaceDE w:val="0"/>
        <w:autoSpaceDN w:val="0"/>
        <w:adjustRightInd w:val="0"/>
        <w:spacing w:before="0" w:line="480" w:lineRule="auto"/>
        <w:rPr>
          <w:rFonts w:ascii="Times New Roman" w:hAnsi="Times New Roman"/>
          <w:sz w:val="24"/>
          <w:szCs w:val="24"/>
        </w:rPr>
      </w:pPr>
      <w:r w:rsidRPr="00454D2A">
        <w:rPr>
          <w:rFonts w:ascii="Times New Roman" w:hAnsi="Times New Roman"/>
          <w:sz w:val="24"/>
          <w:szCs w:val="24"/>
        </w:rPr>
        <w:t xml:space="preserve">Efficient dual targeted chemotherapy is an attractive approach for </w:t>
      </w:r>
      <w:r w:rsidRPr="001C19E2">
        <w:rPr>
          <w:rFonts w:ascii="Times New Roman" w:hAnsi="Times New Roman"/>
          <w:sz w:val="24"/>
          <w:szCs w:val="24"/>
        </w:rPr>
        <w:t xml:space="preserve">killing the tumor cells and tumor endothelial cells, while sparing the normal tissue. Herein, we investigated whether encapsulation of </w:t>
      </w:r>
      <w:proofErr w:type="spellStart"/>
      <w:r w:rsidRPr="001C19E2">
        <w:rPr>
          <w:rFonts w:ascii="Times New Roman" w:hAnsi="Times New Roman"/>
          <w:sz w:val="24"/>
          <w:szCs w:val="24"/>
        </w:rPr>
        <w:t>paclitaxel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 (PTX) within polymer–lipid hybrid </w:t>
      </w:r>
      <w:proofErr w:type="spellStart"/>
      <w:r w:rsidRPr="001C19E2">
        <w:rPr>
          <w:rFonts w:ascii="Times New Roman" w:hAnsi="Times New Roman"/>
          <w:sz w:val="24"/>
          <w:szCs w:val="24"/>
        </w:rPr>
        <w:t>nanoparticles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 conjugated with </w:t>
      </w:r>
      <w:proofErr w:type="spellStart"/>
      <w:r w:rsidRPr="001C19E2">
        <w:rPr>
          <w:rFonts w:ascii="Times New Roman" w:hAnsi="Times New Roman"/>
          <w:sz w:val="24"/>
          <w:szCs w:val="24"/>
        </w:rPr>
        <w:t>kNGR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 (PLNs-</w:t>
      </w:r>
      <w:proofErr w:type="spellStart"/>
      <w:r w:rsidRPr="001C19E2">
        <w:rPr>
          <w:rFonts w:ascii="Times New Roman" w:hAnsi="Times New Roman"/>
          <w:sz w:val="24"/>
          <w:szCs w:val="24"/>
        </w:rPr>
        <w:t>kNGR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) achieved this goal in a subcutaneous tumor induced </w:t>
      </w:r>
      <w:proofErr w:type="spellStart"/>
      <w:r w:rsidRPr="001C19E2">
        <w:rPr>
          <w:rFonts w:ascii="Times New Roman" w:hAnsi="Times New Roman"/>
          <w:sz w:val="24"/>
          <w:szCs w:val="24"/>
        </w:rPr>
        <w:t>Balb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/c mice bearing HT-1080 tumor model with </w:t>
      </w:r>
      <w:proofErr w:type="spellStart"/>
      <w:r w:rsidRPr="001C19E2">
        <w:rPr>
          <w:rFonts w:ascii="Times New Roman" w:hAnsi="Times New Roman"/>
          <w:sz w:val="24"/>
          <w:szCs w:val="24"/>
        </w:rPr>
        <w:t>nanocarrier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-modified </w:t>
      </w:r>
      <w:proofErr w:type="spellStart"/>
      <w:r w:rsidRPr="001C19E2">
        <w:rPr>
          <w:rFonts w:ascii="Times New Roman" w:hAnsi="Times New Roman"/>
          <w:sz w:val="24"/>
          <w:szCs w:val="24"/>
        </w:rPr>
        <w:t>biodistribution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 and toxicity. The dual targeted PLNs-</w:t>
      </w:r>
      <w:proofErr w:type="spellStart"/>
      <w:r w:rsidRPr="001C19E2">
        <w:rPr>
          <w:rFonts w:ascii="Times New Roman" w:hAnsi="Times New Roman"/>
          <w:sz w:val="24"/>
          <w:szCs w:val="24"/>
        </w:rPr>
        <w:t>kNGR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 was prepared by modified </w:t>
      </w:r>
      <w:proofErr w:type="spellStart"/>
      <w:r w:rsidRPr="001C19E2">
        <w:rPr>
          <w:rFonts w:ascii="Times New Roman" w:hAnsi="Times New Roman"/>
          <w:sz w:val="24"/>
          <w:szCs w:val="24"/>
        </w:rPr>
        <w:t>nano</w:t>
      </w:r>
      <w:proofErr w:type="spellEnd"/>
      <w:r w:rsidRPr="001C19E2">
        <w:rPr>
          <w:rFonts w:ascii="Times New Roman" w:hAnsi="Times New Roman"/>
          <w:sz w:val="24"/>
          <w:szCs w:val="24"/>
        </w:rPr>
        <w:t>-precipitation technique combined with self-assembly</w:t>
      </w:r>
      <w:r w:rsidRPr="001C19E2">
        <w:rPr>
          <w:rFonts w:ascii="Times New Roman" w:eastAsia="Arial Unicode MS" w:hAnsi="Times New Roman"/>
          <w:spacing w:val="-2"/>
          <w:sz w:val="24"/>
          <w:szCs w:val="24"/>
        </w:rPr>
        <w:t xml:space="preserve"> and evaluated for different parameters. </w:t>
      </w:r>
      <w:r w:rsidRPr="001C19E2">
        <w:rPr>
          <w:rFonts w:ascii="Times New Roman" w:hAnsi="Times New Roman"/>
          <w:sz w:val="24"/>
          <w:szCs w:val="24"/>
        </w:rPr>
        <w:t>Compared with other tested NPs, PLNs-</w:t>
      </w:r>
      <w:proofErr w:type="spellStart"/>
      <w:r w:rsidRPr="001C19E2">
        <w:rPr>
          <w:rFonts w:ascii="Times New Roman" w:hAnsi="Times New Roman"/>
          <w:sz w:val="24"/>
          <w:szCs w:val="24"/>
        </w:rPr>
        <w:t>kNGR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-NPs revealed more </w:t>
      </w:r>
      <w:proofErr w:type="spellStart"/>
      <w:r w:rsidRPr="001C19E2">
        <w:rPr>
          <w:rFonts w:ascii="Times New Roman" w:hAnsi="Times New Roman"/>
          <w:sz w:val="24"/>
          <w:szCs w:val="24"/>
        </w:rPr>
        <w:t>cytotoxicity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 by inducing more apoptosis, higher intracellular uptake and % tumor volume inhibition rate that was 59.7%.  These findings substantiate the importance of rational design of </w:t>
      </w:r>
      <w:proofErr w:type="spellStart"/>
      <w:r w:rsidRPr="001C19E2">
        <w:rPr>
          <w:rFonts w:ascii="Times New Roman" w:hAnsi="Times New Roman"/>
          <w:sz w:val="24"/>
          <w:szCs w:val="24"/>
        </w:rPr>
        <w:t>nanoparticles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 for dual targeting synergistic therapy.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C19E2">
        <w:rPr>
          <w:rFonts w:ascii="Times New Roman" w:hAnsi="Times New Roman"/>
          <w:sz w:val="24"/>
          <w:szCs w:val="24"/>
        </w:rPr>
        <w:t>As a consequence, the PLNs-</w:t>
      </w:r>
      <w:proofErr w:type="spellStart"/>
      <w:r w:rsidRPr="001C19E2">
        <w:rPr>
          <w:rFonts w:ascii="Times New Roman" w:hAnsi="Times New Roman"/>
          <w:sz w:val="24"/>
          <w:szCs w:val="24"/>
        </w:rPr>
        <w:t>kNGR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-NPs play a key role in enhancing tumor therapeutic efficiency for treatment of CD13 receptor specific solid tumor. </w:t>
      </w:r>
    </w:p>
    <w:p w:rsidR="007E1978" w:rsidRPr="001C19E2" w:rsidRDefault="007E1978" w:rsidP="007E1978">
      <w:pPr>
        <w:autoSpaceDE w:val="0"/>
        <w:autoSpaceDN w:val="0"/>
        <w:adjustRightInd w:val="0"/>
        <w:spacing w:before="0" w:line="480" w:lineRule="auto"/>
        <w:rPr>
          <w:rFonts w:ascii="Times New Roman" w:hAnsi="Times New Roman"/>
          <w:sz w:val="24"/>
          <w:szCs w:val="24"/>
        </w:rPr>
      </w:pPr>
      <w:r w:rsidRPr="001C19E2">
        <w:rPr>
          <w:rFonts w:ascii="Times New Roman" w:hAnsi="Times New Roman"/>
          <w:b/>
          <w:sz w:val="24"/>
          <w:szCs w:val="24"/>
        </w:rPr>
        <w:t>Keywords:</w:t>
      </w:r>
      <w:r w:rsidRPr="001C19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19E2">
        <w:rPr>
          <w:rFonts w:ascii="Times New Roman" w:hAnsi="Times New Roman"/>
          <w:sz w:val="24"/>
          <w:szCs w:val="24"/>
        </w:rPr>
        <w:t>kNGR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 peptide, CD13 receptor, targeted therapy, polymer lipid hybrid </w:t>
      </w:r>
      <w:proofErr w:type="spellStart"/>
      <w:r w:rsidRPr="001C19E2">
        <w:rPr>
          <w:rFonts w:ascii="Times New Roman" w:hAnsi="Times New Roman"/>
          <w:sz w:val="24"/>
          <w:szCs w:val="24"/>
        </w:rPr>
        <w:t>nanoparticles</w:t>
      </w:r>
      <w:proofErr w:type="spellEnd"/>
      <w:r w:rsidRPr="001C19E2">
        <w:rPr>
          <w:rFonts w:ascii="Times New Roman" w:hAnsi="Times New Roman"/>
          <w:sz w:val="24"/>
          <w:szCs w:val="24"/>
        </w:rPr>
        <w:t xml:space="preserve">, intracellular delivery. </w:t>
      </w:r>
    </w:p>
    <w:p w:rsidR="002F4A5C" w:rsidRDefault="002F4A5C"/>
    <w:sectPr w:rsidR="002F4A5C" w:rsidSect="0022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E1978"/>
    <w:rsid w:val="00064C0E"/>
    <w:rsid w:val="001C33EB"/>
    <w:rsid w:val="00223965"/>
    <w:rsid w:val="002F4A5C"/>
    <w:rsid w:val="00335089"/>
    <w:rsid w:val="003F76FB"/>
    <w:rsid w:val="00665317"/>
    <w:rsid w:val="006F5D65"/>
    <w:rsid w:val="007E1978"/>
    <w:rsid w:val="00B621E0"/>
    <w:rsid w:val="00D97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978"/>
    <w:pPr>
      <w:spacing w:before="120" w:after="12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7E1978"/>
    <w:pPr>
      <w:keepNext/>
      <w:spacing w:before="40" w:after="40"/>
      <w:jc w:val="center"/>
      <w:outlineLvl w:val="0"/>
    </w:pPr>
    <w:rPr>
      <w:rFonts w:ascii="Times New Roman" w:hAnsi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E1978"/>
    <w:rPr>
      <w:rFonts w:ascii="Times New Roman" w:eastAsia="Calibri" w:hAnsi="Times New Roman" w:cs="Times New Roman"/>
      <w:b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 gupta</dc:creator>
  <cp:keywords/>
  <dc:description/>
  <cp:lastModifiedBy>madhu gupta</cp:lastModifiedBy>
  <cp:revision>7</cp:revision>
  <dcterms:created xsi:type="dcterms:W3CDTF">2018-03-28T10:13:00Z</dcterms:created>
  <dcterms:modified xsi:type="dcterms:W3CDTF">2018-09-22T06:16:00Z</dcterms:modified>
</cp:coreProperties>
</file>