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08E3DC" w14:textId="6DDBA5D8" w:rsidR="00AE3E37" w:rsidRDefault="000A32DF" w:rsidP="00494130">
      <w:pPr>
        <w:pStyle w:val="Balk1"/>
        <w:spacing w:before="170"/>
        <w:ind w:left="0"/>
      </w:pPr>
      <w:r>
        <w:rPr>
          <w:color w:val="337AB7"/>
        </w:rPr>
        <w:t>C</w:t>
      </w:r>
      <w:r w:rsidRPr="000A32DF">
        <w:rPr>
          <w:color w:val="337AB7"/>
        </w:rPr>
        <w:t xml:space="preserve">olloidal </w:t>
      </w:r>
      <w:r>
        <w:rPr>
          <w:color w:val="337AB7"/>
        </w:rPr>
        <w:t>nano</w:t>
      </w:r>
      <w:r w:rsidRPr="000A32DF">
        <w:rPr>
          <w:color w:val="337AB7"/>
        </w:rPr>
        <w:t>particles and unique interfaces-based SARS-CoV-2 detection methods and COVID-19 diagnosis</w:t>
      </w:r>
    </w:p>
    <w:p w14:paraId="7C1A636F" w14:textId="08560DDC" w:rsidR="005973B9" w:rsidRDefault="000A32DF" w:rsidP="005973B9">
      <w:pPr>
        <w:pStyle w:val="GvdeMetni"/>
        <w:spacing w:before="73" w:line="198" w:lineRule="exact"/>
        <w:ind w:left="100" w:right="5987"/>
        <w:rPr>
          <w:rFonts w:ascii="Arial"/>
        </w:rPr>
      </w:pPr>
      <w:r>
        <w:rPr>
          <w:rFonts w:ascii="Arial"/>
        </w:rPr>
        <w:t>Ebru SAAT</w:t>
      </w:r>
      <w:r>
        <w:rPr>
          <w:rFonts w:ascii="Arial"/>
        </w:rPr>
        <w:t>Çİ</w:t>
      </w:r>
      <w:r>
        <w:rPr>
          <w:rFonts w:ascii="Arial"/>
        </w:rPr>
        <w:t>, Erciyes University, TURKEY</w:t>
      </w:r>
    </w:p>
    <w:p w14:paraId="1B65848D" w14:textId="77777777" w:rsidR="00AE3E37" w:rsidRDefault="00AE3E37">
      <w:pPr>
        <w:pStyle w:val="GvdeMetni"/>
        <w:rPr>
          <w:rFonts w:ascii="Arial"/>
          <w:sz w:val="20"/>
        </w:rPr>
      </w:pPr>
    </w:p>
    <w:p w14:paraId="209AC601" w14:textId="77777777" w:rsidR="00AE3E37" w:rsidRDefault="00AE3E37">
      <w:pPr>
        <w:pStyle w:val="GvdeMetni"/>
        <w:spacing w:before="3"/>
        <w:rPr>
          <w:rFonts w:ascii="Arial"/>
          <w:sz w:val="21"/>
        </w:rPr>
      </w:pPr>
    </w:p>
    <w:p w14:paraId="6CAAD15A"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702E645A" w14:textId="685E6512" w:rsidR="00AE3E37" w:rsidRDefault="00A9710C">
      <w:pPr>
        <w:pStyle w:val="Balk3"/>
        <w:spacing w:before="147"/>
        <w:jc w:val="both"/>
      </w:pPr>
      <w:r>
        <w:rPr>
          <w:color w:val="BF5A14"/>
        </w:rPr>
        <w:t>Abstract</w:t>
      </w:r>
      <w:r w:rsidR="00404E5B">
        <w:rPr>
          <w:color w:val="BF5A14"/>
        </w:rPr>
        <w:t xml:space="preserve"> </w:t>
      </w:r>
    </w:p>
    <w:p w14:paraId="3ECCB7DF" w14:textId="5D567A93" w:rsidR="00AE3E37" w:rsidRDefault="00D87E79">
      <w:pPr>
        <w:pStyle w:val="GvdeMetni"/>
        <w:spacing w:before="90" w:line="280" w:lineRule="auto"/>
        <w:ind w:left="100"/>
        <w:jc w:val="both"/>
      </w:pPr>
      <w:r w:rsidRPr="00D87E79">
        <w:t>In March 2020, SARS-CoV-2 based infections were declared ‘COVID-19 pandemic’ by the World Health Organization (WHO). Pandemic raised the necessity to design and develop genuine and sensitive tests for precise specific SARS-CoV-2 infections detection. Nanotechnological methods offer new ways to fight COVID-19. Nanomaterials are ideal for unique sensor platforms due to their easy manufacturing, chemically versatile properties</w:t>
      </w:r>
      <w:r w:rsidR="00A9710C">
        <w:t>.</w:t>
      </w:r>
      <w:r w:rsidRPr="00D87E79">
        <w:rPr>
          <w:rFonts w:ascii="Times New Roman" w:eastAsia="Calibri" w:hAnsi="Times New Roman" w:cs="Times New Roman"/>
          <w:sz w:val="24"/>
          <w:szCs w:val="24"/>
          <w:lang w:val="en-IN"/>
        </w:rPr>
        <w:t xml:space="preserve"> </w:t>
      </w:r>
      <w:r w:rsidR="008602E7">
        <w:rPr>
          <w:lang w:val="en-IN"/>
        </w:rPr>
        <w:t>These materials</w:t>
      </w:r>
      <w:r w:rsidR="001A5AF7" w:rsidRPr="001A5AF7">
        <w:rPr>
          <w:lang w:val="en-IN"/>
        </w:rPr>
        <w:t xml:space="preserve"> are the most current components in SARS-CoV-2 testing since they have distinct properties, such as their large surface-to-volume ratios. Extensive surface interactions of the nanomaterials and the sensor and the analyte, these materials allow rapid and reliable detections with high sensitivity</w:t>
      </w:r>
      <w:r w:rsidR="001A5AF7">
        <w:rPr>
          <w:lang w:val="en-IN"/>
        </w:rPr>
        <w:t>.</w:t>
      </w:r>
      <w:r w:rsidR="009A773D" w:rsidRPr="009A773D">
        <w:rPr>
          <w:rFonts w:ascii="Times New Roman" w:eastAsia="Calibri" w:hAnsi="Times New Roman" w:cs="Times New Roman"/>
          <w:bCs/>
          <w:sz w:val="24"/>
          <w:szCs w:val="24"/>
          <w:lang w:eastAsia="en-IN"/>
        </w:rPr>
        <w:t xml:space="preserve"> </w:t>
      </w:r>
      <w:r w:rsidR="009A773D" w:rsidRPr="009A773D">
        <w:rPr>
          <w:bCs/>
        </w:rPr>
        <w:t>Nanobiosensors are a valuable alternative to conventional laboratory devices for clinical and environmental analysis. They can combine the unique electrical and optical properties of nanomaterials with biological or synthetic molecules that are used as receptors for the selective detection of all types of analytes</w:t>
      </w:r>
      <w:r w:rsidR="009A773D">
        <w:rPr>
          <w:bCs/>
        </w:rPr>
        <w:t>.</w:t>
      </w:r>
      <w:r w:rsidRPr="00D87E79">
        <w:rPr>
          <w:lang w:val="en-IN"/>
        </w:rPr>
        <w:t xml:space="preserve"> In this </w:t>
      </w:r>
      <w:r>
        <w:rPr>
          <w:lang w:val="en-IN"/>
        </w:rPr>
        <w:t>webinar</w:t>
      </w:r>
      <w:r w:rsidRPr="00D87E79">
        <w:rPr>
          <w:lang w:val="en-IN"/>
        </w:rPr>
        <w:t>, various nanomaterial-based particular biosensor arrays are given in select</w:t>
      </w:r>
      <w:r w:rsidR="00E96096">
        <w:rPr>
          <w:lang w:val="en-IN"/>
        </w:rPr>
        <w:t>ed</w:t>
      </w:r>
      <w:r w:rsidRPr="00D87E79">
        <w:rPr>
          <w:lang w:val="en-IN"/>
        </w:rPr>
        <w:t xml:space="preserve"> platform</w:t>
      </w:r>
      <w:r w:rsidR="00E96096">
        <w:rPr>
          <w:lang w:val="en-IN"/>
        </w:rPr>
        <w:t>s</w:t>
      </w:r>
      <w:r w:rsidRPr="00D87E79">
        <w:rPr>
          <w:lang w:val="en-IN"/>
        </w:rPr>
        <w:t>.</w:t>
      </w:r>
    </w:p>
    <w:p w14:paraId="4EB6C47F" w14:textId="39879FB5" w:rsidR="00AE3E37" w:rsidRDefault="00A9710C">
      <w:pPr>
        <w:pStyle w:val="Balk3"/>
        <w:spacing w:before="74"/>
      </w:pPr>
      <w:r>
        <w:rPr>
          <w:b w:val="0"/>
        </w:rPr>
        <w:br w:type="column"/>
      </w:r>
    </w:p>
    <w:p w14:paraId="29A8C643" w14:textId="77777777" w:rsidR="005973B9" w:rsidRDefault="005973B9" w:rsidP="005973B9">
      <w:pPr>
        <w:spacing w:line="204" w:lineRule="exact"/>
        <w:rPr>
          <w:rFonts w:ascii="Arial"/>
          <w:b/>
          <w:sz w:val="20"/>
        </w:rPr>
      </w:pPr>
      <w:r>
        <w:rPr>
          <w:rFonts w:ascii="Arial"/>
          <w:b/>
          <w:color w:val="BF5A14"/>
          <w:sz w:val="20"/>
        </w:rPr>
        <w:br/>
        <w:t>Recent Publications (minimum 5)</w:t>
      </w:r>
    </w:p>
    <w:p w14:paraId="76AFD1EC" w14:textId="1208C957" w:rsidR="00355A72" w:rsidRPr="00355A72" w:rsidRDefault="00355A72" w:rsidP="00355A72">
      <w:pPr>
        <w:numPr>
          <w:ilvl w:val="0"/>
          <w:numId w:val="4"/>
        </w:numPr>
        <w:tabs>
          <w:tab w:val="left" w:pos="384"/>
        </w:tabs>
        <w:ind w:right="117"/>
        <w:rPr>
          <w:rFonts w:ascii="Calibri" w:eastAsia="Calibri" w:hAnsi="Calibri" w:cs="Calibri"/>
          <w:sz w:val="18"/>
          <w:lang w:val="en-GB"/>
        </w:rPr>
      </w:pPr>
      <w:r w:rsidRPr="00355A72">
        <w:rPr>
          <w:rFonts w:ascii="Calibri" w:eastAsia="Calibri" w:hAnsi="Calibri" w:cs="Calibri"/>
          <w:sz w:val="18"/>
          <w:lang w:val="en-GB"/>
        </w:rPr>
        <w:t>S Natarajan, E Saatçi, J Joseph</w:t>
      </w:r>
      <w:r>
        <w:rPr>
          <w:rFonts w:ascii="Calibri" w:eastAsia="Calibri" w:hAnsi="Calibri" w:cs="Calibri"/>
          <w:sz w:val="18"/>
          <w:lang w:val="en-GB"/>
        </w:rPr>
        <w:t xml:space="preserve">. 2022. </w:t>
      </w:r>
      <w:r w:rsidRPr="00355A72">
        <w:rPr>
          <w:rFonts w:ascii="Calibri" w:eastAsia="Calibri" w:hAnsi="Calibri" w:cs="Calibri"/>
          <w:sz w:val="18"/>
          <w:lang w:val="en-GB"/>
        </w:rPr>
        <w:t>Development and Evaluation of Europium-Based Quantitative Lateral Flow Immunoassay for the Chronic Kidney Disease Marker Cystatin-C</w:t>
      </w:r>
      <w:r>
        <w:rPr>
          <w:rFonts w:ascii="Calibri" w:eastAsia="Calibri" w:hAnsi="Calibri" w:cs="Calibri"/>
          <w:sz w:val="18"/>
          <w:lang w:val="en-GB"/>
        </w:rPr>
        <w:t xml:space="preserve">. </w:t>
      </w:r>
      <w:r w:rsidRPr="00355A72">
        <w:rPr>
          <w:rFonts w:ascii="Calibri" w:eastAsia="Calibri" w:hAnsi="Calibri" w:cs="Calibri"/>
          <w:sz w:val="18"/>
          <w:lang w:val="en-GB"/>
        </w:rPr>
        <w:t>Journal of Fluorescence, 1-8</w:t>
      </w:r>
    </w:p>
    <w:p w14:paraId="2B50157C" w14:textId="1BF3E549" w:rsidR="009A773D" w:rsidRPr="009A773D" w:rsidRDefault="009A773D" w:rsidP="009A773D">
      <w:pPr>
        <w:numPr>
          <w:ilvl w:val="0"/>
          <w:numId w:val="4"/>
        </w:numPr>
        <w:tabs>
          <w:tab w:val="left" w:pos="384"/>
        </w:tabs>
        <w:ind w:right="117"/>
        <w:rPr>
          <w:rFonts w:ascii="Calibri" w:eastAsia="Calibri" w:hAnsi="Calibri" w:cs="Calibri"/>
          <w:sz w:val="18"/>
          <w:lang w:val="en-GB"/>
        </w:rPr>
      </w:pPr>
      <w:r w:rsidRPr="009A773D">
        <w:rPr>
          <w:rFonts w:ascii="Calibri" w:eastAsia="Calibri" w:hAnsi="Calibri" w:cs="Calibri"/>
          <w:sz w:val="18"/>
          <w:lang w:val="en-GB"/>
        </w:rPr>
        <w:t>E Saatçi, S Natarajan. 2021. State of the art of colloidal particles and unique interfaces-based SARS-CoV-2 detection methods and COVID-19 diagnosis. Current Opinion in Colloid &amp; Interface Science, 101469</w:t>
      </w:r>
    </w:p>
    <w:p w14:paraId="3A54FF1A" w14:textId="77777777" w:rsidR="009A773D" w:rsidRPr="009A773D" w:rsidRDefault="009A773D" w:rsidP="009A773D">
      <w:pPr>
        <w:numPr>
          <w:ilvl w:val="0"/>
          <w:numId w:val="4"/>
        </w:numPr>
        <w:tabs>
          <w:tab w:val="left" w:pos="384"/>
        </w:tabs>
        <w:ind w:right="117"/>
        <w:rPr>
          <w:rFonts w:ascii="Calibri" w:eastAsia="Calibri" w:hAnsi="Calibri" w:cs="Calibri"/>
          <w:sz w:val="18"/>
          <w:lang w:val="en-GB"/>
        </w:rPr>
      </w:pPr>
      <w:r w:rsidRPr="009A773D">
        <w:rPr>
          <w:rFonts w:ascii="Calibri" w:eastAsia="Calibri" w:hAnsi="Calibri" w:cs="Calibri"/>
          <w:sz w:val="18"/>
          <w:lang w:val="en-GB"/>
        </w:rPr>
        <w:t>E Saatçi. 2020. Newly developed diagnostic methods for SARS-CoV-2 detection. Turkish Journal of Biochemistry 45 (5), 465-474</w:t>
      </w:r>
    </w:p>
    <w:p w14:paraId="69CB661A" w14:textId="77777777" w:rsidR="009A773D" w:rsidRPr="009A773D" w:rsidRDefault="009A773D" w:rsidP="009A773D">
      <w:pPr>
        <w:numPr>
          <w:ilvl w:val="0"/>
          <w:numId w:val="4"/>
        </w:numPr>
        <w:tabs>
          <w:tab w:val="left" w:pos="384"/>
        </w:tabs>
        <w:ind w:right="117"/>
        <w:rPr>
          <w:rFonts w:ascii="Calibri" w:eastAsia="Calibri" w:hAnsi="Calibri" w:cs="Calibri"/>
          <w:sz w:val="18"/>
          <w:lang w:val="en-GB"/>
        </w:rPr>
      </w:pPr>
      <w:r w:rsidRPr="009A773D">
        <w:rPr>
          <w:rFonts w:ascii="Calibri" w:eastAsia="Calibri" w:hAnsi="Calibri" w:cs="Calibri"/>
          <w:sz w:val="18"/>
          <w:lang w:val="en-GB"/>
        </w:rPr>
        <w:t>K Zór, K Dymek, R Ortiz, AM Faure, E Saatci, L Gorton, R Bardsley et al. 2012. Indirect, non-competitive amperometric immunoassay for accurate quantification of calpastatin, a meat tenderness marker, in bovine muscle. Food chemistry 133 (2), 598-603</w:t>
      </w:r>
    </w:p>
    <w:p w14:paraId="3B18F599" w14:textId="77777777" w:rsidR="009A773D" w:rsidRPr="009A773D" w:rsidRDefault="009A773D" w:rsidP="009A773D">
      <w:pPr>
        <w:numPr>
          <w:ilvl w:val="0"/>
          <w:numId w:val="4"/>
        </w:numPr>
        <w:tabs>
          <w:tab w:val="left" w:pos="384"/>
        </w:tabs>
        <w:ind w:right="117"/>
        <w:rPr>
          <w:rFonts w:ascii="Calibri" w:eastAsia="Calibri" w:hAnsi="Calibri" w:cs="Calibri"/>
          <w:sz w:val="18"/>
          <w:lang w:val="en-GB"/>
        </w:rPr>
      </w:pPr>
      <w:r w:rsidRPr="009A773D">
        <w:rPr>
          <w:rFonts w:ascii="Calibri" w:eastAsia="Calibri" w:hAnsi="Calibri" w:cs="Calibri"/>
          <w:sz w:val="18"/>
          <w:lang w:val="en-GB"/>
        </w:rPr>
        <w:t>K Zór, R Ortiz, E Saatci, R Bardsley, T Parr, E Csöregi, M Nistor. 2009. Label free capacitive immunosensor for detecting calpastatin—A meat tenderness biomarker. Bioelectrochemistry 76 (1-2), 93-99</w:t>
      </w:r>
    </w:p>
    <w:p w14:paraId="7A5CF798" w14:textId="77777777" w:rsidR="00AE3E37" w:rsidRPr="008756E6" w:rsidRDefault="00AE3E37" w:rsidP="008756E6">
      <w:pPr>
        <w:tabs>
          <w:tab w:val="left" w:pos="384"/>
        </w:tabs>
        <w:ind w:right="117"/>
      </w:pPr>
    </w:p>
    <w:p w14:paraId="5B9377A1"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3614D9B" w14:textId="77777777" w:rsidR="00AE3E37" w:rsidRDefault="00AE3E37">
      <w:pPr>
        <w:pStyle w:val="GvdeMetni"/>
        <w:rPr>
          <w:rFonts w:ascii="Calibri"/>
          <w:sz w:val="20"/>
        </w:rPr>
      </w:pPr>
    </w:p>
    <w:p w14:paraId="06EAFF4A" w14:textId="77777777" w:rsidR="00AE3E37" w:rsidRDefault="00292ED9">
      <w:pPr>
        <w:pStyle w:val="GvdeMetni"/>
        <w:spacing w:line="40" w:lineRule="exact"/>
        <w:ind w:left="2202"/>
        <w:rPr>
          <w:rFonts w:ascii="Calibri"/>
          <w:sz w:val="4"/>
        </w:rPr>
      </w:pPr>
      <w:r>
        <w:rPr>
          <w:rFonts w:ascii="Calibri"/>
          <w:noProof/>
          <w:sz w:val="4"/>
          <w:lang w:val="en-IN" w:eastAsia="en-IN"/>
        </w:rPr>
        <mc:AlternateContent>
          <mc:Choice Requires="wpg">
            <w:drawing>
              <wp:inline distT="0" distB="0" distL="0" distR="0" wp14:anchorId="13A271A5" wp14:editId="59EE8CC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4ECE40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98804FA" w14:textId="77777777" w:rsidR="00A77C5A" w:rsidRDefault="008756E6" w:rsidP="00404E5B">
      <w:pPr>
        <w:spacing w:before="92"/>
        <w:ind w:right="4234"/>
        <w:rPr>
          <w:noProof/>
          <w:lang w:val="en-IN" w:eastAsia="en-IN"/>
        </w:rPr>
      </w:pPr>
      <w:r>
        <w:rPr>
          <w:noProof/>
        </w:rPr>
        <w:t xml:space="preserve">              </w:t>
      </w:r>
      <w:r w:rsidR="00F52CB6">
        <w:rPr>
          <w:noProof/>
        </w:rPr>
        <w:drawing>
          <wp:inline distT="0" distB="0" distL="0" distR="0" wp14:anchorId="44BA1660" wp14:editId="6D5E2F83">
            <wp:extent cx="1170305" cy="1554480"/>
            <wp:effectExtent l="0" t="0" r="0" b="762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70305" cy="1554480"/>
                    </a:xfrm>
                    <a:prstGeom prst="rect">
                      <a:avLst/>
                    </a:prstGeom>
                    <a:noFill/>
                  </pic:spPr>
                </pic:pic>
              </a:graphicData>
            </a:graphic>
          </wp:inline>
        </w:drawing>
      </w:r>
    </w:p>
    <w:p w14:paraId="00507468" w14:textId="681C3867" w:rsidR="00AE3E37" w:rsidRDefault="00A77C5A" w:rsidP="00404E5B">
      <w:pPr>
        <w:spacing w:before="92"/>
        <w:ind w:right="4234"/>
        <w:rPr>
          <w:rFonts w:ascii="Arial"/>
        </w:rPr>
      </w:pPr>
      <w:r>
        <w:rPr>
          <w:noProof/>
          <w:lang w:val="en-IN" w:eastAsia="en-IN"/>
        </w:rPr>
        <w:t xml:space="preserve">   </w:t>
      </w:r>
      <w:r w:rsidR="00A9710C">
        <w:rPr>
          <w:rFonts w:ascii="Arial"/>
          <w:color w:val="BF5A14"/>
        </w:rPr>
        <w:t>Biography</w:t>
      </w:r>
      <w:r w:rsidR="00404E5B">
        <w:rPr>
          <w:rFonts w:ascii="Arial"/>
          <w:color w:val="BF5A14"/>
        </w:rPr>
        <w:t xml:space="preserve"> </w:t>
      </w:r>
    </w:p>
    <w:p w14:paraId="298E67F0" w14:textId="0B26767A" w:rsidR="00AE3E37" w:rsidRDefault="00FA7672">
      <w:pPr>
        <w:spacing w:before="41" w:line="154" w:lineRule="exact"/>
        <w:ind w:left="213" w:right="231"/>
        <w:jc w:val="both"/>
        <w:rPr>
          <w:rFonts w:ascii="Arial"/>
          <w:sz w:val="14"/>
        </w:rPr>
      </w:pPr>
      <w:r w:rsidRPr="00FA7672">
        <w:rPr>
          <w:rFonts w:ascii="Arial"/>
          <w:sz w:val="14"/>
        </w:rPr>
        <w:t>Dr. Ebru Saat</w:t>
      </w:r>
      <w:r w:rsidRPr="00FA7672">
        <w:rPr>
          <w:rFonts w:ascii="Arial"/>
          <w:sz w:val="14"/>
        </w:rPr>
        <w:t>ç</w:t>
      </w:r>
      <w:r w:rsidRPr="00FA7672">
        <w:rPr>
          <w:rFonts w:ascii="Arial"/>
          <w:sz w:val="14"/>
        </w:rPr>
        <w:t>i, Female, Biochemist, graduated from Medical Biosciences, 9 Eyl</w:t>
      </w:r>
      <w:r w:rsidRPr="00FA7672">
        <w:rPr>
          <w:rFonts w:ascii="Arial"/>
          <w:sz w:val="14"/>
        </w:rPr>
        <w:t>ü</w:t>
      </w:r>
      <w:r w:rsidRPr="00FA7672">
        <w:rPr>
          <w:rFonts w:ascii="Arial"/>
          <w:sz w:val="14"/>
        </w:rPr>
        <w:t>l University in 1994. She worked for Erciyes University between 1994-1996 in Biology Department and in Middle East Technical University between 1999-2006. She got PhD degree from Biochemistry in METU at 2005. She worked as a postdoctoral researcher in Chemistry Department, Kemicentrum, Lund University, Sweden between 2007-2008. Now she is Assistant Prof. in Biology Department, Erciyes University., Kayseri, Turkey.</w:t>
      </w:r>
      <w:r>
        <w:rPr>
          <w:rFonts w:ascii="Arial"/>
          <w:sz w:val="14"/>
        </w:rPr>
        <w:t xml:space="preserve"> She </w:t>
      </w:r>
      <w:r w:rsidR="00A9710C">
        <w:rPr>
          <w:rFonts w:ascii="Arial"/>
          <w:sz w:val="14"/>
        </w:rPr>
        <w:t xml:space="preserve">has her expertise in </w:t>
      </w:r>
      <w:r w:rsidR="0048665F">
        <w:rPr>
          <w:rFonts w:ascii="Arial"/>
          <w:sz w:val="14"/>
        </w:rPr>
        <w:t>enzyme and immunosensor development by using amperometric and impedimetric electrochemical methods</w:t>
      </w:r>
      <w:r w:rsidR="00A9710C">
        <w:rPr>
          <w:rFonts w:ascii="Arial"/>
          <w:sz w:val="14"/>
        </w:rPr>
        <w:t xml:space="preserve">. </w:t>
      </w:r>
      <w:r w:rsidR="0048665F">
        <w:rPr>
          <w:rFonts w:ascii="Arial"/>
          <w:sz w:val="14"/>
        </w:rPr>
        <w:t xml:space="preserve">Mainly her </w:t>
      </w:r>
      <w:r>
        <w:rPr>
          <w:rFonts w:ascii="Arial"/>
          <w:sz w:val="14"/>
        </w:rPr>
        <w:t>research</w:t>
      </w:r>
      <w:r w:rsidR="0048665F">
        <w:rPr>
          <w:rFonts w:ascii="Arial"/>
          <w:sz w:val="14"/>
        </w:rPr>
        <w:t xml:space="preserve"> </w:t>
      </w:r>
      <w:r>
        <w:rPr>
          <w:rFonts w:ascii="Arial"/>
          <w:sz w:val="14"/>
        </w:rPr>
        <w:t>is</w:t>
      </w:r>
      <w:r w:rsidR="0048665F">
        <w:rPr>
          <w:rFonts w:ascii="Arial"/>
          <w:sz w:val="14"/>
        </w:rPr>
        <w:t xml:space="preserve"> focused on magnetic bead and SPE combination-based electrochemical biosensors. </w:t>
      </w:r>
      <w:r w:rsidRPr="00FA7672">
        <w:rPr>
          <w:rFonts w:ascii="Arial"/>
          <w:sz w:val="14"/>
        </w:rPr>
        <w:t>She has two patents and one patent application for immunosensors.</w:t>
      </w:r>
    </w:p>
    <w:p w14:paraId="573637D5" w14:textId="4450B09B" w:rsidR="00AE3E37" w:rsidRDefault="00A9710C">
      <w:pPr>
        <w:spacing w:before="62"/>
        <w:ind w:left="4217" w:right="4235"/>
        <w:jc w:val="center"/>
        <w:rPr>
          <w:rFonts w:ascii="Arial"/>
          <w:sz w:val="14"/>
        </w:rPr>
      </w:pPr>
      <w:r>
        <w:rPr>
          <w:rFonts w:ascii="Arial"/>
          <w:sz w:val="14"/>
        </w:rPr>
        <w:t xml:space="preserve">Email: </w:t>
      </w:r>
      <w:r w:rsidR="00FA7672" w:rsidRPr="00FA7672">
        <w:rPr>
          <w:rFonts w:ascii="Arial"/>
          <w:sz w:val="14"/>
        </w:rPr>
        <w:t>s</w:t>
      </w:r>
      <w:r w:rsidR="00FA7672">
        <w:rPr>
          <w:rFonts w:ascii="Arial"/>
          <w:sz w:val="14"/>
        </w:rPr>
        <w:t>aatci@erciyes.edu.tr</w:t>
      </w:r>
    </w:p>
    <w:p w14:paraId="5608BFD8" w14:textId="77777777" w:rsidR="00AE3E37" w:rsidRDefault="00292ED9">
      <w:pPr>
        <w:pStyle w:val="GvdeMetni"/>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79B2F95D" wp14:editId="62156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26F9E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28B496AA" w14:textId="77777777" w:rsidR="00AE3E37" w:rsidRDefault="00AE3E37">
      <w:pPr>
        <w:pStyle w:val="GvdeMetni"/>
        <w:rPr>
          <w:rFonts w:ascii="Arial"/>
          <w:sz w:val="20"/>
        </w:rPr>
      </w:pPr>
    </w:p>
    <w:p w14:paraId="3304BF64" w14:textId="77777777" w:rsidR="00AE3E37" w:rsidRDefault="00AE3E37">
      <w:pPr>
        <w:pStyle w:val="GvdeMetni"/>
        <w:rPr>
          <w:rFonts w:ascii="Arial"/>
          <w:sz w:val="20"/>
        </w:rPr>
      </w:pPr>
    </w:p>
    <w:p w14:paraId="582F2BAE" w14:textId="77777777" w:rsidR="00AE3E37" w:rsidRDefault="00AE3E37">
      <w:pPr>
        <w:pStyle w:val="GvdeMetni"/>
        <w:spacing w:before="7"/>
        <w:rPr>
          <w:rFonts w:ascii="Arial"/>
          <w:sz w:val="29"/>
        </w:rPr>
      </w:pPr>
    </w:p>
    <w:p w14:paraId="24AB8F93" w14:textId="77777777" w:rsidR="00AE3E37" w:rsidRPr="00B21A57" w:rsidRDefault="00A9710C">
      <w:pPr>
        <w:spacing w:before="39"/>
        <w:ind w:left="100"/>
        <w:rPr>
          <w:rFonts w:ascii="Minion Pro"/>
          <w:b/>
          <w:sz w:val="20"/>
        </w:rPr>
      </w:pPr>
      <w:r w:rsidRPr="00B21A57">
        <w:rPr>
          <w:rFonts w:ascii="Minion Pro"/>
          <w:b/>
          <w:sz w:val="20"/>
        </w:rPr>
        <w:t>Notes/Comments:</w:t>
      </w:r>
    </w:p>
    <w:p w14:paraId="64AFBA50"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48B8CF1" w14:textId="77777777" w:rsidR="00AE3E37" w:rsidRDefault="00AE3E37">
      <w:pPr>
        <w:pStyle w:val="GvdeMetni"/>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CEA9F0" w14:textId="77777777" w:rsidR="005556C7" w:rsidRDefault="005556C7">
      <w:r>
        <w:separator/>
      </w:r>
    </w:p>
  </w:endnote>
  <w:endnote w:type="continuationSeparator" w:id="0">
    <w:p w14:paraId="012BB205" w14:textId="77777777" w:rsidR="005556C7" w:rsidRDefault="005556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43DB5" w14:textId="77777777" w:rsidR="00AE3E37" w:rsidRDefault="00292ED9">
    <w:pPr>
      <w:pStyle w:val="GvdeMetni"/>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F22BC8A" wp14:editId="22A7F1F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9D75E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3C0C94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22BC8A"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209D75E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3C0C94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FF9957A" wp14:editId="44E8248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5AD88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03106D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F9957A"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585AD88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03106D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18CDA277" wp14:editId="23DE5FC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4B05E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72F114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CDA277"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264B05E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72F114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A83715" w14:textId="77777777" w:rsidR="005556C7" w:rsidRDefault="005556C7">
      <w:r>
        <w:separator/>
      </w:r>
    </w:p>
  </w:footnote>
  <w:footnote w:type="continuationSeparator" w:id="0">
    <w:p w14:paraId="38234304" w14:textId="77777777" w:rsidR="005556C7" w:rsidRDefault="005556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D8BEE" w14:textId="77777777" w:rsidR="00AE3E37" w:rsidRDefault="00292ED9">
    <w:pPr>
      <w:pStyle w:val="GvdeMetni"/>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BF0D5C4" wp14:editId="3145675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0D7079"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F0D5C4"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250D7079"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4E996139" wp14:editId="6D33968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31593B" w14:textId="77777777" w:rsidR="00AE3E37" w:rsidRPr="005B3A56" w:rsidRDefault="00A9710C">
                          <w:pPr>
                            <w:pStyle w:val="GvdeMetni"/>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938E81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996139"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1D31593B" w14:textId="77777777" w:rsidR="00AE3E37" w:rsidRPr="005B3A56" w:rsidRDefault="00A9710C">
                    <w:pPr>
                      <w:pStyle w:val="GvdeMetni"/>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938E81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1B87BD9"/>
    <w:multiLevelType w:val="hybridMultilevel"/>
    <w:tmpl w:val="28A460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A32DF"/>
    <w:rsid w:val="000E2911"/>
    <w:rsid w:val="001263DF"/>
    <w:rsid w:val="001A5AF7"/>
    <w:rsid w:val="002455EC"/>
    <w:rsid w:val="00292ED9"/>
    <w:rsid w:val="00355A72"/>
    <w:rsid w:val="003D3AC4"/>
    <w:rsid w:val="00404E5B"/>
    <w:rsid w:val="00414F7B"/>
    <w:rsid w:val="004355DC"/>
    <w:rsid w:val="004749B4"/>
    <w:rsid w:val="0048665F"/>
    <w:rsid w:val="00494130"/>
    <w:rsid w:val="004F3523"/>
    <w:rsid w:val="00522A79"/>
    <w:rsid w:val="005556C7"/>
    <w:rsid w:val="005973B9"/>
    <w:rsid w:val="005B3A56"/>
    <w:rsid w:val="006060CE"/>
    <w:rsid w:val="0063497F"/>
    <w:rsid w:val="008261D5"/>
    <w:rsid w:val="008602E7"/>
    <w:rsid w:val="00873DF0"/>
    <w:rsid w:val="008756E6"/>
    <w:rsid w:val="008A08B6"/>
    <w:rsid w:val="009A773D"/>
    <w:rsid w:val="009B2D44"/>
    <w:rsid w:val="00A07E82"/>
    <w:rsid w:val="00A77C5A"/>
    <w:rsid w:val="00A9710C"/>
    <w:rsid w:val="00AE3E37"/>
    <w:rsid w:val="00B21A57"/>
    <w:rsid w:val="00C33602"/>
    <w:rsid w:val="00CD6F55"/>
    <w:rsid w:val="00D87E79"/>
    <w:rsid w:val="00DE3104"/>
    <w:rsid w:val="00E26B10"/>
    <w:rsid w:val="00E96096"/>
    <w:rsid w:val="00F52CB6"/>
    <w:rsid w:val="00F72EEA"/>
    <w:rsid w:val="00F84CAE"/>
    <w:rsid w:val="00FA7672"/>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EF0A84"/>
  <w15:docId w15:val="{CF3E6B57-A74C-4102-A46E-3B97DDB7D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Balk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alk2">
    <w:name w:val="heading 2"/>
    <w:basedOn w:val="Normal"/>
    <w:uiPriority w:val="1"/>
    <w:qFormat/>
    <w:rsid w:val="00CD6F55"/>
    <w:pPr>
      <w:ind w:left="100"/>
      <w:outlineLvl w:val="1"/>
    </w:pPr>
    <w:rPr>
      <w:rFonts w:ascii="Minion Pro" w:eastAsia="Minion Pro" w:hAnsi="Minion Pro" w:cs="Minion Pro"/>
      <w:sz w:val="24"/>
      <w:szCs w:val="24"/>
    </w:rPr>
  </w:style>
  <w:style w:type="paragraph" w:styleId="Balk3">
    <w:name w:val="heading 3"/>
    <w:basedOn w:val="Normal"/>
    <w:uiPriority w:val="1"/>
    <w:qFormat/>
    <w:rsid w:val="00CD6F55"/>
    <w:pPr>
      <w:ind w:left="100"/>
      <w:outlineLvl w:val="2"/>
    </w:pPr>
    <w:rPr>
      <w:rFonts w:ascii="Arial" w:eastAsia="Arial" w:hAnsi="Arial" w:cs="Arial"/>
      <w:b/>
      <w:bCs/>
      <w:sz w:val="20"/>
      <w:szCs w:val="20"/>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CD6F55"/>
    <w:rPr>
      <w:sz w:val="18"/>
      <w:szCs w:val="18"/>
    </w:rPr>
  </w:style>
  <w:style w:type="paragraph" w:styleId="ListeParagraf">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stBilgi">
    <w:name w:val="header"/>
    <w:basedOn w:val="Normal"/>
    <w:link w:val="stBilgiChar"/>
    <w:uiPriority w:val="99"/>
    <w:unhideWhenUsed/>
    <w:rsid w:val="005B3A56"/>
    <w:pPr>
      <w:tabs>
        <w:tab w:val="center" w:pos="4513"/>
        <w:tab w:val="right" w:pos="9026"/>
      </w:tabs>
    </w:pPr>
  </w:style>
  <w:style w:type="character" w:customStyle="1" w:styleId="stBilgiChar">
    <w:name w:val="Üst Bilgi Char"/>
    <w:basedOn w:val="VarsaylanParagrafYazTipi"/>
    <w:link w:val="stBilgi"/>
    <w:uiPriority w:val="99"/>
    <w:rsid w:val="005B3A56"/>
    <w:rPr>
      <w:rFonts w:ascii="Tw Cen MT" w:eastAsia="Tw Cen MT" w:hAnsi="Tw Cen MT" w:cs="Tw Cen MT"/>
    </w:rPr>
  </w:style>
  <w:style w:type="paragraph" w:styleId="AltBilgi">
    <w:name w:val="footer"/>
    <w:basedOn w:val="Normal"/>
    <w:link w:val="AltBilgiChar"/>
    <w:uiPriority w:val="99"/>
    <w:unhideWhenUsed/>
    <w:rsid w:val="005B3A56"/>
    <w:pPr>
      <w:tabs>
        <w:tab w:val="center" w:pos="4513"/>
        <w:tab w:val="right" w:pos="9026"/>
      </w:tabs>
    </w:pPr>
  </w:style>
  <w:style w:type="character" w:customStyle="1" w:styleId="AltBilgiChar">
    <w:name w:val="Alt Bilgi Char"/>
    <w:basedOn w:val="VarsaylanParagrafYazTipi"/>
    <w:link w:val="AltBilgi"/>
    <w:uiPriority w:val="99"/>
    <w:rsid w:val="005B3A56"/>
    <w:rPr>
      <w:rFonts w:ascii="Tw Cen MT" w:eastAsia="Tw Cen MT" w:hAnsi="Tw Cen MT" w:cs="Tw Cen MT"/>
    </w:rPr>
  </w:style>
  <w:style w:type="paragraph" w:styleId="BalonMetni">
    <w:name w:val="Balloon Text"/>
    <w:basedOn w:val="Normal"/>
    <w:link w:val="BalonMetniChar"/>
    <w:uiPriority w:val="99"/>
    <w:semiHidden/>
    <w:unhideWhenUsed/>
    <w:rsid w:val="004F3523"/>
    <w:rPr>
      <w:rFonts w:ascii="Tahoma" w:hAnsi="Tahoma" w:cs="Tahoma"/>
      <w:sz w:val="16"/>
      <w:szCs w:val="16"/>
    </w:rPr>
  </w:style>
  <w:style w:type="character" w:customStyle="1" w:styleId="BalonMetniChar">
    <w:name w:val="Balon Metni Char"/>
    <w:basedOn w:val="VarsaylanParagrafYazTipi"/>
    <w:link w:val="BalonMetni"/>
    <w:uiPriority w:val="99"/>
    <w:semiHidden/>
    <w:rsid w:val="004F3523"/>
    <w:rPr>
      <w:rFonts w:ascii="Tahoma" w:eastAsia="Tw Cen MT" w:hAnsi="Tahoma" w:cs="Tahoma"/>
      <w:sz w:val="16"/>
      <w:szCs w:val="16"/>
    </w:rPr>
  </w:style>
  <w:style w:type="character" w:styleId="Kpr">
    <w:name w:val="Hyperlink"/>
    <w:basedOn w:val="VarsaylanParagrafYazTipi"/>
    <w:uiPriority w:val="99"/>
    <w:unhideWhenUsed/>
    <w:rsid w:val="008756E6"/>
    <w:rPr>
      <w:color w:val="0000FF" w:themeColor="hyperlink"/>
      <w:u w:val="single"/>
    </w:rPr>
  </w:style>
  <w:style w:type="character" w:customStyle="1" w:styleId="GvdeMetniChar">
    <w:name w:val="Gövde Metni Char"/>
    <w:basedOn w:val="VarsaylanParagrafYazTipi"/>
    <w:link w:val="GvdeMetni"/>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479</Words>
  <Characters>2736</Characters>
  <Application>Microsoft Office Word</Application>
  <DocSecurity>0</DocSecurity>
  <Lines>22</Lines>
  <Paragraphs>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ebru saatci</cp:lastModifiedBy>
  <cp:revision>4</cp:revision>
  <dcterms:created xsi:type="dcterms:W3CDTF">2022-01-21T08:07:00Z</dcterms:created>
  <dcterms:modified xsi:type="dcterms:W3CDTF">2022-01-21T08:08:00Z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