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DE6" w:rsidRPr="00521DE4" w:rsidRDefault="00521DE4" w:rsidP="00521DE4">
      <w:pPr>
        <w:pStyle w:val="BATitle"/>
        <w:spacing w:before="0" w:line="276" w:lineRule="auto"/>
        <w:rPr>
          <w:rFonts w:asciiTheme="majorBidi" w:hAnsiTheme="majorBidi" w:cstheme="majorBidi"/>
          <w:sz w:val="32"/>
          <w:szCs w:val="34"/>
        </w:rPr>
      </w:pPr>
      <w:r>
        <w:rPr>
          <w:rFonts w:asciiTheme="majorBidi" w:hAnsiTheme="majorBidi" w:cstheme="majorBidi"/>
          <w:sz w:val="32"/>
          <w:szCs w:val="34"/>
        </w:rPr>
        <w:t xml:space="preserve">Synthesis </w:t>
      </w:r>
      <w:r w:rsidR="008C7366" w:rsidRPr="00521DE4">
        <w:rPr>
          <w:rFonts w:asciiTheme="majorBidi" w:hAnsiTheme="majorBidi" w:cstheme="majorBidi"/>
          <w:sz w:val="32"/>
          <w:szCs w:val="34"/>
        </w:rPr>
        <w:t xml:space="preserve">of </w:t>
      </w:r>
      <w:r w:rsidR="006A196A" w:rsidRPr="00521DE4">
        <w:rPr>
          <w:rFonts w:asciiTheme="majorBidi" w:hAnsiTheme="majorBidi" w:cstheme="majorBidi"/>
          <w:sz w:val="32"/>
          <w:szCs w:val="34"/>
        </w:rPr>
        <w:t>CaCO</w:t>
      </w:r>
      <w:r w:rsidR="006A196A" w:rsidRPr="00521DE4">
        <w:rPr>
          <w:rFonts w:asciiTheme="majorBidi" w:hAnsiTheme="majorBidi" w:cstheme="majorBidi"/>
          <w:sz w:val="32"/>
          <w:szCs w:val="34"/>
          <w:vertAlign w:val="subscript"/>
        </w:rPr>
        <w:t>3</w:t>
      </w:r>
      <w:r w:rsidR="008C7366" w:rsidRPr="00521DE4">
        <w:rPr>
          <w:rFonts w:asciiTheme="majorBidi" w:hAnsiTheme="majorBidi" w:cstheme="majorBidi"/>
          <w:sz w:val="32"/>
          <w:szCs w:val="34"/>
        </w:rPr>
        <w:t xml:space="preserve"> scaffolds</w:t>
      </w:r>
      <w:r w:rsidR="00252E49" w:rsidRPr="00521DE4">
        <w:rPr>
          <w:rFonts w:asciiTheme="majorBidi" w:hAnsiTheme="majorBidi" w:cstheme="majorBidi"/>
          <w:sz w:val="32"/>
          <w:szCs w:val="34"/>
        </w:rPr>
        <w:t xml:space="preserve"> </w:t>
      </w:r>
      <w:r w:rsidR="00173DE6" w:rsidRPr="00521DE4">
        <w:rPr>
          <w:rFonts w:asciiTheme="majorBidi" w:hAnsiTheme="majorBidi" w:cstheme="majorBidi"/>
          <w:sz w:val="32"/>
          <w:szCs w:val="34"/>
        </w:rPr>
        <w:t>for bone tissue engineering</w:t>
      </w:r>
    </w:p>
    <w:p w:rsidR="0078377D" w:rsidRPr="00521DE4" w:rsidRDefault="0078377D" w:rsidP="00521DE4">
      <w:pPr>
        <w:pStyle w:val="BATitle"/>
        <w:spacing w:before="0" w:after="0" w:line="360" w:lineRule="auto"/>
        <w:rPr>
          <w:rFonts w:asciiTheme="majorBidi" w:hAnsiTheme="majorBidi" w:cstheme="majorBidi"/>
          <w:sz w:val="24"/>
          <w:szCs w:val="24"/>
        </w:rPr>
      </w:pPr>
      <w:r w:rsidRPr="00521DE4">
        <w:rPr>
          <w:rFonts w:asciiTheme="majorBidi" w:hAnsiTheme="majorBidi" w:cstheme="majorBidi"/>
          <w:b/>
          <w:sz w:val="24"/>
          <w:szCs w:val="24"/>
          <w:u w:val="single"/>
        </w:rPr>
        <w:t>Sudhir Kumar Sharma</w:t>
      </w:r>
      <w:r w:rsidRPr="00521DE4">
        <w:rPr>
          <w:rFonts w:asciiTheme="majorBidi" w:hAnsiTheme="majorBidi" w:cstheme="majorBidi"/>
          <w:sz w:val="24"/>
          <w:szCs w:val="24"/>
        </w:rPr>
        <w:t>, and Ramesh Jagannathan</w:t>
      </w:r>
      <w:r w:rsidRPr="00521DE4">
        <w:rPr>
          <w:rFonts w:asciiTheme="majorBidi" w:hAnsiTheme="majorBidi" w:cstheme="majorBidi"/>
          <w:sz w:val="24"/>
          <w:szCs w:val="24"/>
          <w:vertAlign w:val="superscript"/>
        </w:rPr>
        <w:t>*</w:t>
      </w:r>
    </w:p>
    <w:p w:rsidR="00173DE6" w:rsidRPr="00521DE4" w:rsidRDefault="0078377D" w:rsidP="00B37EB8">
      <w:pPr>
        <w:spacing w:after="0" w:line="360" w:lineRule="auto"/>
        <w:jc w:val="center"/>
        <w:rPr>
          <w:rFonts w:asciiTheme="majorBidi" w:hAnsiTheme="majorBidi" w:cstheme="majorBidi"/>
        </w:rPr>
      </w:pPr>
      <w:r w:rsidRPr="00521DE4">
        <w:rPr>
          <w:rFonts w:asciiTheme="majorBidi" w:hAnsiTheme="majorBidi" w:cstheme="majorBidi"/>
        </w:rPr>
        <w:t>Engineering Division, New York University Abu Dhabi, Abu Dhabi, UAE.</w:t>
      </w:r>
    </w:p>
    <w:p w:rsidR="00173DE6" w:rsidRPr="00521DE4" w:rsidRDefault="00173DE6" w:rsidP="00173DE6">
      <w:pPr>
        <w:autoSpaceDE w:val="0"/>
        <w:autoSpaceDN w:val="0"/>
        <w:adjustRightInd w:val="0"/>
        <w:spacing w:after="0" w:line="360" w:lineRule="auto"/>
        <w:ind w:firstLine="720"/>
        <w:jc w:val="both"/>
        <w:rPr>
          <w:rFonts w:asciiTheme="majorBidi" w:hAnsiTheme="majorBidi" w:cstheme="majorBidi"/>
          <w:b/>
        </w:rPr>
      </w:pPr>
    </w:p>
    <w:p w:rsidR="00521DE4" w:rsidRPr="00521DE4" w:rsidRDefault="000110FB" w:rsidP="00521DE4">
      <w:pPr>
        <w:autoSpaceDE w:val="0"/>
        <w:autoSpaceDN w:val="0"/>
        <w:adjustRightInd w:val="0"/>
        <w:spacing w:after="0"/>
        <w:ind w:firstLine="720"/>
        <w:jc w:val="both"/>
        <w:rPr>
          <w:rFonts w:asciiTheme="majorBidi" w:hAnsiTheme="majorBidi" w:cstheme="majorBidi"/>
          <w:sz w:val="24"/>
          <w:szCs w:val="28"/>
        </w:rPr>
      </w:pPr>
      <w:r w:rsidRPr="00521DE4">
        <w:rPr>
          <w:rFonts w:asciiTheme="majorBidi" w:hAnsiTheme="majorBidi" w:cstheme="majorBidi"/>
          <w:sz w:val="24"/>
          <w:szCs w:val="28"/>
        </w:rPr>
        <w:t>It is well known that b</w:t>
      </w:r>
      <w:r w:rsidR="00511C18" w:rsidRPr="00521DE4">
        <w:rPr>
          <w:rFonts w:asciiTheme="majorBidi" w:hAnsiTheme="majorBidi" w:cstheme="majorBidi"/>
          <w:sz w:val="24"/>
          <w:szCs w:val="28"/>
        </w:rPr>
        <w:t>ioactive ceramics exhibit specific biological affinities</w:t>
      </w:r>
      <w:r w:rsidRPr="00521DE4">
        <w:rPr>
          <w:rFonts w:asciiTheme="majorBidi" w:hAnsiTheme="majorBidi" w:cstheme="majorBidi"/>
          <w:sz w:val="24"/>
          <w:szCs w:val="28"/>
        </w:rPr>
        <w:t>, especially in the area of</w:t>
      </w:r>
      <w:r w:rsidR="00511C18" w:rsidRPr="00521DE4">
        <w:rPr>
          <w:rFonts w:asciiTheme="majorBidi" w:hAnsiTheme="majorBidi" w:cstheme="majorBidi"/>
          <w:sz w:val="24"/>
          <w:szCs w:val="28"/>
        </w:rPr>
        <w:t xml:space="preserve"> </w:t>
      </w:r>
      <w:r w:rsidRPr="00521DE4">
        <w:rPr>
          <w:rFonts w:asciiTheme="majorBidi" w:hAnsiTheme="majorBidi" w:cstheme="majorBidi"/>
          <w:sz w:val="24"/>
          <w:szCs w:val="28"/>
        </w:rPr>
        <w:t>tissue re-generation. In this context, w</w:t>
      </w:r>
      <w:r w:rsidR="0078377D" w:rsidRPr="00521DE4">
        <w:rPr>
          <w:rFonts w:asciiTheme="majorBidi" w:hAnsiTheme="majorBidi" w:cstheme="majorBidi"/>
          <w:sz w:val="24"/>
          <w:szCs w:val="28"/>
        </w:rPr>
        <w:t>e report the development of a</w:t>
      </w:r>
      <w:r w:rsidRPr="00521DE4">
        <w:rPr>
          <w:rFonts w:asciiTheme="majorBidi" w:hAnsiTheme="majorBidi" w:cstheme="majorBidi"/>
          <w:sz w:val="24"/>
          <w:szCs w:val="28"/>
        </w:rPr>
        <w:t xml:space="preserve">n eminently scalable, </w:t>
      </w:r>
      <w:r w:rsidR="0078377D" w:rsidRPr="00521DE4">
        <w:rPr>
          <w:rFonts w:asciiTheme="majorBidi" w:hAnsiTheme="majorBidi" w:cstheme="majorBidi"/>
          <w:sz w:val="24"/>
          <w:szCs w:val="28"/>
        </w:rPr>
        <w:t>novel, supercritical CO</w:t>
      </w:r>
      <w:r w:rsidR="0078377D" w:rsidRPr="00521DE4">
        <w:rPr>
          <w:rFonts w:asciiTheme="majorBidi" w:hAnsiTheme="majorBidi" w:cstheme="majorBidi"/>
          <w:sz w:val="24"/>
          <w:szCs w:val="28"/>
          <w:vertAlign w:val="subscript"/>
        </w:rPr>
        <w:t>2</w:t>
      </w:r>
      <w:r w:rsidR="0078377D" w:rsidRPr="00521DE4">
        <w:rPr>
          <w:rFonts w:asciiTheme="majorBidi" w:hAnsiTheme="majorBidi" w:cstheme="majorBidi"/>
          <w:sz w:val="24"/>
          <w:szCs w:val="28"/>
        </w:rPr>
        <w:t xml:space="preserve"> based process</w:t>
      </w:r>
      <w:r w:rsidR="00173DE6" w:rsidRPr="00521DE4">
        <w:rPr>
          <w:rFonts w:asciiTheme="majorBidi" w:hAnsiTheme="majorBidi" w:cstheme="majorBidi"/>
          <w:sz w:val="24"/>
          <w:szCs w:val="28"/>
        </w:rPr>
        <w:t xml:space="preserve"> </w:t>
      </w:r>
      <w:r w:rsidR="0078377D" w:rsidRPr="00521DE4">
        <w:rPr>
          <w:rFonts w:asciiTheme="majorBidi" w:hAnsiTheme="majorBidi" w:cstheme="majorBidi"/>
          <w:sz w:val="24"/>
          <w:szCs w:val="28"/>
        </w:rPr>
        <w:t xml:space="preserve">for the fabrication of hierarchically porous </w:t>
      </w:r>
      <w:r w:rsidRPr="00521DE4">
        <w:rPr>
          <w:rFonts w:asciiTheme="majorBidi" w:hAnsiTheme="majorBidi" w:cstheme="majorBidi"/>
          <w:sz w:val="24"/>
          <w:szCs w:val="28"/>
        </w:rPr>
        <w:t xml:space="preserve">“soft” </w:t>
      </w:r>
      <w:r w:rsidR="0078377D" w:rsidRPr="00521DE4">
        <w:rPr>
          <w:rFonts w:asciiTheme="majorBidi" w:hAnsiTheme="majorBidi" w:cstheme="majorBidi"/>
          <w:sz w:val="24"/>
          <w:szCs w:val="28"/>
        </w:rPr>
        <w:t>CaCO</w:t>
      </w:r>
      <w:r w:rsidR="0078377D" w:rsidRPr="00521DE4">
        <w:rPr>
          <w:rFonts w:asciiTheme="majorBidi" w:hAnsiTheme="majorBidi" w:cstheme="majorBidi"/>
          <w:sz w:val="24"/>
          <w:szCs w:val="28"/>
          <w:vertAlign w:val="subscript"/>
        </w:rPr>
        <w:t>3</w:t>
      </w:r>
      <w:r w:rsidR="0078377D" w:rsidRPr="00521DE4">
        <w:rPr>
          <w:rFonts w:asciiTheme="majorBidi" w:hAnsiTheme="majorBidi" w:cstheme="majorBidi"/>
          <w:sz w:val="24"/>
          <w:szCs w:val="28"/>
        </w:rPr>
        <w:t xml:space="preserve"> scaffolds</w:t>
      </w:r>
      <w:r w:rsidR="00521DE4">
        <w:rPr>
          <w:rFonts w:asciiTheme="majorBidi" w:hAnsiTheme="majorBidi" w:cstheme="majorBidi"/>
          <w:sz w:val="24"/>
          <w:szCs w:val="28"/>
        </w:rPr>
        <w:t xml:space="preserve"> on silicon substrates.  </w:t>
      </w:r>
      <w:r w:rsidRPr="00521DE4">
        <w:rPr>
          <w:rFonts w:asciiTheme="majorBidi" w:hAnsiTheme="majorBidi" w:cstheme="majorBidi"/>
          <w:sz w:val="24"/>
          <w:szCs w:val="28"/>
          <w:shd w:val="clear" w:color="auto" w:fill="FFFFFF"/>
        </w:rPr>
        <w:t>Exposure of</w:t>
      </w:r>
      <w:r w:rsidR="00173DE6" w:rsidRPr="00521DE4">
        <w:rPr>
          <w:rFonts w:asciiTheme="majorBidi" w:hAnsiTheme="majorBidi" w:cstheme="majorBidi"/>
          <w:sz w:val="24"/>
          <w:szCs w:val="28"/>
          <w:shd w:val="clear" w:color="auto" w:fill="FFFFFF"/>
        </w:rPr>
        <w:t xml:space="preserve"> these </w:t>
      </w:r>
      <w:r w:rsidR="0078377D" w:rsidRPr="00521DE4">
        <w:rPr>
          <w:rFonts w:asciiTheme="majorBidi" w:hAnsiTheme="majorBidi" w:cstheme="majorBidi"/>
          <w:sz w:val="24"/>
          <w:szCs w:val="28"/>
        </w:rPr>
        <w:t>CaCO</w:t>
      </w:r>
      <w:r w:rsidR="0078377D" w:rsidRPr="00521DE4">
        <w:rPr>
          <w:rFonts w:asciiTheme="majorBidi" w:hAnsiTheme="majorBidi" w:cstheme="majorBidi"/>
          <w:sz w:val="24"/>
          <w:szCs w:val="28"/>
          <w:vertAlign w:val="subscript"/>
        </w:rPr>
        <w:t>3</w:t>
      </w:r>
      <w:r w:rsidR="0078377D" w:rsidRPr="00521DE4">
        <w:rPr>
          <w:rFonts w:asciiTheme="majorBidi" w:hAnsiTheme="majorBidi" w:cstheme="majorBidi"/>
          <w:sz w:val="24"/>
          <w:szCs w:val="28"/>
          <w:shd w:val="clear" w:color="auto" w:fill="FFFFFF"/>
        </w:rPr>
        <w:t xml:space="preserve"> scaffolds to </w:t>
      </w:r>
      <w:proofErr w:type="spellStart"/>
      <w:r w:rsidR="0078377D" w:rsidRPr="00521DE4">
        <w:rPr>
          <w:rFonts w:asciiTheme="majorBidi" w:hAnsiTheme="majorBidi" w:cstheme="majorBidi"/>
          <w:sz w:val="24"/>
          <w:szCs w:val="28"/>
          <w:shd w:val="clear" w:color="auto" w:fill="FFFFFF"/>
        </w:rPr>
        <w:t>monocytic</w:t>
      </w:r>
      <w:proofErr w:type="spellEnd"/>
      <w:r w:rsidR="0078377D" w:rsidRPr="00521DE4">
        <w:rPr>
          <w:rFonts w:asciiTheme="majorBidi" w:hAnsiTheme="majorBidi" w:cstheme="majorBidi"/>
          <w:sz w:val="24"/>
          <w:szCs w:val="28"/>
          <w:shd w:val="clear" w:color="auto" w:fill="FFFFFF"/>
        </w:rPr>
        <w:t xml:space="preserve"> THP-1 cells</w:t>
      </w:r>
      <w:r w:rsidR="00173DE6" w:rsidRPr="00521DE4">
        <w:rPr>
          <w:rFonts w:asciiTheme="majorBidi" w:hAnsiTheme="majorBidi" w:cstheme="majorBidi"/>
          <w:sz w:val="24"/>
          <w:szCs w:val="28"/>
          <w:shd w:val="clear" w:color="auto" w:fill="FFFFFF"/>
        </w:rPr>
        <w:t xml:space="preserve"> </w:t>
      </w:r>
      <w:r w:rsidR="0078377D" w:rsidRPr="00521DE4">
        <w:rPr>
          <w:rFonts w:asciiTheme="majorBidi" w:hAnsiTheme="majorBidi" w:cstheme="majorBidi"/>
          <w:sz w:val="24"/>
          <w:szCs w:val="28"/>
          <w:shd w:val="clear" w:color="auto" w:fill="FFFFFF"/>
        </w:rPr>
        <w:t xml:space="preserve">yielded negligible levels of tumor necrosis factor-alpha (TNF-α) </w:t>
      </w:r>
      <w:r w:rsidRPr="00521DE4">
        <w:rPr>
          <w:rFonts w:asciiTheme="majorBidi" w:hAnsiTheme="majorBidi" w:cstheme="majorBidi"/>
          <w:sz w:val="24"/>
          <w:szCs w:val="28"/>
          <w:shd w:val="clear" w:color="auto" w:fill="FFFFFF"/>
        </w:rPr>
        <w:t>thereby confirming</w:t>
      </w:r>
      <w:r w:rsidR="0078377D" w:rsidRPr="00521DE4">
        <w:rPr>
          <w:rFonts w:asciiTheme="majorBidi" w:hAnsiTheme="majorBidi" w:cstheme="majorBidi"/>
          <w:sz w:val="24"/>
          <w:szCs w:val="28"/>
          <w:shd w:val="clear" w:color="auto" w:fill="FFFFFF"/>
        </w:rPr>
        <w:t xml:space="preserve"> the lack of immunogenicity of the scaffolds. </w:t>
      </w:r>
      <w:r w:rsidR="00521DE4">
        <w:rPr>
          <w:rFonts w:asciiTheme="majorBidi" w:hAnsiTheme="majorBidi" w:cstheme="majorBidi"/>
          <w:sz w:val="24"/>
          <w:szCs w:val="28"/>
        </w:rPr>
        <w:t xml:space="preserve">ECM </w:t>
      </w:r>
      <w:r w:rsidR="00173DE6" w:rsidRPr="00521DE4">
        <w:rPr>
          <w:rFonts w:asciiTheme="majorBidi" w:hAnsiTheme="majorBidi" w:cstheme="majorBidi"/>
          <w:sz w:val="24"/>
          <w:szCs w:val="28"/>
        </w:rPr>
        <w:t xml:space="preserve">protein treatment </w:t>
      </w:r>
      <w:r w:rsidRPr="00521DE4">
        <w:rPr>
          <w:rFonts w:asciiTheme="majorBidi" w:hAnsiTheme="majorBidi" w:cstheme="majorBidi"/>
          <w:sz w:val="24"/>
          <w:szCs w:val="28"/>
        </w:rPr>
        <w:t xml:space="preserve">of the scaffolds </w:t>
      </w:r>
      <w:r w:rsidR="0078377D" w:rsidRPr="00521DE4">
        <w:rPr>
          <w:rFonts w:asciiTheme="majorBidi" w:hAnsiTheme="majorBidi" w:cstheme="majorBidi"/>
          <w:sz w:val="24"/>
          <w:szCs w:val="28"/>
        </w:rPr>
        <w:t>showed enhanced adsorption</w:t>
      </w:r>
      <w:r w:rsidR="00173DE6" w:rsidRPr="00521DE4">
        <w:rPr>
          <w:rFonts w:asciiTheme="majorBidi" w:hAnsiTheme="majorBidi" w:cstheme="majorBidi"/>
          <w:sz w:val="24"/>
          <w:szCs w:val="28"/>
        </w:rPr>
        <w:t xml:space="preserve"> </w:t>
      </w:r>
      <w:r w:rsidRPr="00521DE4">
        <w:rPr>
          <w:rFonts w:asciiTheme="majorBidi" w:hAnsiTheme="majorBidi" w:cstheme="majorBidi"/>
          <w:sz w:val="24"/>
          <w:szCs w:val="28"/>
        </w:rPr>
        <w:t xml:space="preserve">comparable to </w:t>
      </w:r>
      <w:r w:rsidR="0078377D" w:rsidRPr="00521DE4">
        <w:rPr>
          <w:rFonts w:asciiTheme="majorBidi" w:hAnsiTheme="majorBidi" w:cstheme="majorBidi"/>
          <w:sz w:val="24"/>
          <w:szCs w:val="28"/>
        </w:rPr>
        <w:t>standard control</w:t>
      </w:r>
      <w:r w:rsidR="00173DE6" w:rsidRPr="00521DE4">
        <w:rPr>
          <w:rFonts w:asciiTheme="majorBidi" w:hAnsiTheme="majorBidi" w:cstheme="majorBidi"/>
          <w:sz w:val="24"/>
          <w:szCs w:val="28"/>
        </w:rPr>
        <w:t xml:space="preserve"> such as glass</w:t>
      </w:r>
      <w:r w:rsidR="0078377D" w:rsidRPr="00521DE4">
        <w:rPr>
          <w:rFonts w:asciiTheme="majorBidi" w:hAnsiTheme="majorBidi" w:cstheme="majorBidi"/>
          <w:sz w:val="24"/>
          <w:szCs w:val="28"/>
        </w:rPr>
        <w:t xml:space="preserve">. </w:t>
      </w:r>
      <w:r w:rsidR="0078377D" w:rsidRPr="00521DE4">
        <w:rPr>
          <w:rFonts w:asciiTheme="majorBidi" w:hAnsiTheme="majorBidi" w:cstheme="majorBidi"/>
          <w:i/>
          <w:sz w:val="24"/>
          <w:szCs w:val="28"/>
        </w:rPr>
        <w:t>In vitro</w:t>
      </w:r>
      <w:r w:rsidR="0078377D" w:rsidRPr="00521DE4">
        <w:rPr>
          <w:rFonts w:asciiTheme="majorBidi" w:hAnsiTheme="majorBidi" w:cstheme="majorBidi"/>
          <w:sz w:val="24"/>
          <w:szCs w:val="28"/>
        </w:rPr>
        <w:t xml:space="preserve"> studies using osteoblast precursor cell line, MC3T3, also demonstrated the cytocompatibility of hierarchical porous CaCO</w:t>
      </w:r>
      <w:r w:rsidR="00173DE6" w:rsidRPr="00521DE4">
        <w:rPr>
          <w:rFonts w:asciiTheme="majorBidi" w:hAnsiTheme="majorBidi" w:cstheme="majorBidi"/>
          <w:sz w:val="24"/>
          <w:szCs w:val="28"/>
          <w:vertAlign w:val="subscript"/>
        </w:rPr>
        <w:t>3</w:t>
      </w:r>
      <w:r w:rsidR="0078377D" w:rsidRPr="00521DE4">
        <w:rPr>
          <w:rFonts w:asciiTheme="majorBidi" w:hAnsiTheme="majorBidi" w:cstheme="majorBidi"/>
          <w:sz w:val="24"/>
          <w:szCs w:val="28"/>
        </w:rPr>
        <w:t xml:space="preserve"> scaffolds.</w:t>
      </w:r>
      <w:r w:rsidR="00521DE4">
        <w:rPr>
          <w:rFonts w:asciiTheme="majorBidi" w:hAnsiTheme="majorBidi" w:cstheme="majorBidi"/>
          <w:sz w:val="24"/>
          <w:szCs w:val="28"/>
        </w:rPr>
        <w:t xml:space="preserve"> </w:t>
      </w:r>
      <w:r w:rsidR="00521DE4" w:rsidRPr="00521DE4">
        <w:rPr>
          <w:rFonts w:asciiTheme="majorBidi" w:hAnsiTheme="majorBidi" w:cstheme="majorBidi"/>
        </w:rPr>
        <w:t>Moreover, the CaCO</w:t>
      </w:r>
      <w:r w:rsidR="00521DE4" w:rsidRPr="00B37EB8">
        <w:rPr>
          <w:rFonts w:asciiTheme="majorBidi" w:hAnsiTheme="majorBidi" w:cstheme="majorBidi"/>
          <w:vertAlign w:val="subscript"/>
        </w:rPr>
        <w:t>3</w:t>
      </w:r>
      <w:r w:rsidR="00521DE4" w:rsidRPr="00521DE4">
        <w:rPr>
          <w:rFonts w:asciiTheme="majorBidi" w:hAnsiTheme="majorBidi" w:cstheme="majorBidi"/>
        </w:rPr>
        <w:t xml:space="preserve"> scaffolds stimulated matrix mineralization (calcium deposition), an end point of advanced osteoblast differentiation and an important biomarker for bone tissue formation. Taken together, these results demonstrate the significant potential of the hierarchically porous CaCO</w:t>
      </w:r>
      <w:bookmarkStart w:id="0" w:name="_GoBack"/>
      <w:r w:rsidR="00521DE4" w:rsidRPr="00B37EB8">
        <w:rPr>
          <w:rFonts w:asciiTheme="majorBidi" w:hAnsiTheme="majorBidi" w:cstheme="majorBidi"/>
          <w:vertAlign w:val="subscript"/>
        </w:rPr>
        <w:t>3</w:t>
      </w:r>
      <w:bookmarkEnd w:id="0"/>
      <w:r w:rsidR="00521DE4" w:rsidRPr="00521DE4">
        <w:rPr>
          <w:rFonts w:asciiTheme="majorBidi" w:hAnsiTheme="majorBidi" w:cstheme="majorBidi"/>
        </w:rPr>
        <w:t xml:space="preserve"> scaffolds for bone tissue engineering applications</w:t>
      </w:r>
    </w:p>
    <w:p w:rsidR="0078377D" w:rsidRPr="00521DE4" w:rsidRDefault="0078377D" w:rsidP="000110FB">
      <w:pPr>
        <w:autoSpaceDE w:val="0"/>
        <w:autoSpaceDN w:val="0"/>
        <w:adjustRightInd w:val="0"/>
        <w:spacing w:after="0"/>
        <w:ind w:firstLine="720"/>
        <w:jc w:val="both"/>
        <w:rPr>
          <w:rFonts w:asciiTheme="majorBidi" w:hAnsiTheme="majorBidi" w:cstheme="majorBidi"/>
          <w:sz w:val="24"/>
          <w:szCs w:val="28"/>
        </w:rPr>
      </w:pPr>
    </w:p>
    <w:p w:rsidR="00173DE6" w:rsidRPr="00521DE4" w:rsidRDefault="00173DE6" w:rsidP="00173DE6">
      <w:pPr>
        <w:autoSpaceDE w:val="0"/>
        <w:autoSpaceDN w:val="0"/>
        <w:adjustRightInd w:val="0"/>
        <w:spacing w:after="0"/>
        <w:ind w:firstLine="720"/>
        <w:jc w:val="both"/>
        <w:rPr>
          <w:rFonts w:asciiTheme="majorBidi" w:hAnsiTheme="majorBidi" w:cstheme="majorBidi"/>
          <w:sz w:val="24"/>
          <w:szCs w:val="28"/>
        </w:rPr>
      </w:pPr>
    </w:p>
    <w:p w:rsidR="0078377D" w:rsidRPr="00521DE4" w:rsidRDefault="0078377D" w:rsidP="0078377D">
      <w:pPr>
        <w:jc w:val="both"/>
        <w:rPr>
          <w:rFonts w:asciiTheme="majorBidi" w:hAnsiTheme="majorBidi" w:cstheme="majorBidi"/>
          <w:sz w:val="24"/>
          <w:vertAlign w:val="superscript"/>
        </w:rPr>
      </w:pPr>
      <w:r w:rsidRPr="00521DE4">
        <w:rPr>
          <w:rFonts w:asciiTheme="majorBidi" w:hAnsiTheme="majorBidi" w:cstheme="majorBidi"/>
          <w:b/>
          <w:spacing w:val="3"/>
          <w:sz w:val="24"/>
          <w:shd w:val="clear" w:color="auto" w:fill="FFFFFF"/>
        </w:rPr>
        <w:t>Keywords</w:t>
      </w:r>
      <w:r w:rsidRPr="00521DE4">
        <w:rPr>
          <w:rFonts w:asciiTheme="majorBidi" w:hAnsiTheme="majorBidi" w:cstheme="majorBidi"/>
          <w:spacing w:val="3"/>
          <w:sz w:val="24"/>
          <w:shd w:val="clear" w:color="auto" w:fill="FFFFFF"/>
        </w:rPr>
        <w:t>: Supercritical CO</w:t>
      </w:r>
      <w:r w:rsidRPr="00521DE4">
        <w:rPr>
          <w:rFonts w:asciiTheme="majorBidi" w:hAnsiTheme="majorBidi" w:cstheme="majorBidi"/>
          <w:spacing w:val="3"/>
          <w:sz w:val="24"/>
          <w:shd w:val="clear" w:color="auto" w:fill="FFFFFF"/>
          <w:vertAlign w:val="subscript"/>
        </w:rPr>
        <w:t>2</w:t>
      </w:r>
      <w:r w:rsidRPr="00521DE4">
        <w:rPr>
          <w:rFonts w:asciiTheme="majorBidi" w:hAnsiTheme="majorBidi" w:cstheme="majorBidi"/>
          <w:spacing w:val="3"/>
          <w:sz w:val="24"/>
          <w:shd w:val="clear" w:color="auto" w:fill="FFFFFF"/>
          <w:vertAlign w:val="superscript"/>
        </w:rPr>
        <w:t xml:space="preserve">, </w:t>
      </w:r>
      <w:r w:rsidRPr="00521DE4">
        <w:rPr>
          <w:rFonts w:asciiTheme="majorBidi" w:hAnsiTheme="majorBidi" w:cstheme="majorBidi"/>
          <w:sz w:val="24"/>
        </w:rPr>
        <w:t>CaCO</w:t>
      </w:r>
      <w:r w:rsidRPr="00521DE4">
        <w:rPr>
          <w:rFonts w:asciiTheme="majorBidi" w:hAnsiTheme="majorBidi" w:cstheme="majorBidi"/>
          <w:sz w:val="24"/>
          <w:vertAlign w:val="subscript"/>
        </w:rPr>
        <w:t>3</w:t>
      </w:r>
      <w:r w:rsidRPr="00521DE4">
        <w:rPr>
          <w:rFonts w:asciiTheme="majorBidi" w:hAnsiTheme="majorBidi" w:cstheme="majorBidi"/>
          <w:sz w:val="24"/>
        </w:rPr>
        <w:t xml:space="preserve"> scaffolds</w:t>
      </w:r>
      <w:r w:rsidR="00173DE6" w:rsidRPr="00521DE4">
        <w:rPr>
          <w:rFonts w:asciiTheme="majorBidi" w:hAnsiTheme="majorBidi" w:cstheme="majorBidi"/>
          <w:sz w:val="24"/>
        </w:rPr>
        <w:t xml:space="preserve">, Coffee-ring </w:t>
      </w:r>
      <w:r w:rsidRPr="00521DE4">
        <w:rPr>
          <w:rFonts w:asciiTheme="majorBidi" w:hAnsiTheme="majorBidi" w:cstheme="majorBidi"/>
          <w:sz w:val="24"/>
        </w:rPr>
        <w:t xml:space="preserve">effect and ECM proteins, </w:t>
      </w:r>
    </w:p>
    <w:p w:rsidR="00E22860" w:rsidRPr="00521DE4" w:rsidRDefault="00E22860" w:rsidP="0078377D">
      <w:pPr>
        <w:autoSpaceDE w:val="0"/>
        <w:autoSpaceDN w:val="0"/>
        <w:adjustRightInd w:val="0"/>
        <w:spacing w:after="0"/>
        <w:ind w:firstLine="720"/>
        <w:jc w:val="both"/>
        <w:rPr>
          <w:rFonts w:asciiTheme="majorBidi" w:hAnsiTheme="majorBidi" w:cstheme="majorBidi"/>
          <w:sz w:val="24"/>
          <w:szCs w:val="24"/>
        </w:rPr>
      </w:pPr>
    </w:p>
    <w:p w:rsidR="00EE0C29" w:rsidRPr="00521DE4" w:rsidRDefault="00EE0C29">
      <w:pPr>
        <w:rPr>
          <w:rFonts w:asciiTheme="majorBidi" w:hAnsiTheme="majorBidi" w:cstheme="majorBidi"/>
        </w:rPr>
      </w:pPr>
    </w:p>
    <w:sectPr w:rsidR="00EE0C29" w:rsidRPr="00521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MzM7GwNDU1MzA1szRV0lEKTi0uzszPAykwrAUAxxwFCiwAAAA="/>
  </w:docVars>
  <w:rsids>
    <w:rsidRoot w:val="008C7366"/>
    <w:rsid w:val="000110FB"/>
    <w:rsid w:val="00061BA0"/>
    <w:rsid w:val="00173DE6"/>
    <w:rsid w:val="00252E49"/>
    <w:rsid w:val="00511C18"/>
    <w:rsid w:val="00512B20"/>
    <w:rsid w:val="00521DE4"/>
    <w:rsid w:val="00634280"/>
    <w:rsid w:val="006567D5"/>
    <w:rsid w:val="006A196A"/>
    <w:rsid w:val="0078377D"/>
    <w:rsid w:val="008C7366"/>
    <w:rsid w:val="00B37EB8"/>
    <w:rsid w:val="00CD01AC"/>
    <w:rsid w:val="00E22860"/>
    <w:rsid w:val="00EE0C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5E46D9"/>
  <w15:docId w15:val="{8467570A-AF8E-4E5A-94A8-8C913DB6C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36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C7366"/>
    <w:rPr>
      <w:color w:val="0000FF"/>
      <w:u w:val="single"/>
    </w:rPr>
  </w:style>
  <w:style w:type="paragraph" w:customStyle="1" w:styleId="BATitle">
    <w:name w:val="BA_Title"/>
    <w:basedOn w:val="Normal"/>
    <w:next w:val="BBAuthorName"/>
    <w:rsid w:val="008C7366"/>
    <w:pPr>
      <w:spacing w:before="720" w:after="360" w:line="480" w:lineRule="auto"/>
      <w:jc w:val="center"/>
    </w:pPr>
    <w:rPr>
      <w:rFonts w:ascii="Times New Roman" w:eastAsia="Times New Roman" w:hAnsi="Times New Roman" w:cs="Times New Roman"/>
      <w:sz w:val="44"/>
      <w:szCs w:val="20"/>
    </w:rPr>
  </w:style>
  <w:style w:type="paragraph" w:customStyle="1" w:styleId="BBAuthorName">
    <w:name w:val="BB_Author_Name"/>
    <w:basedOn w:val="Normal"/>
    <w:next w:val="BCAuthorAddress"/>
    <w:rsid w:val="008C7366"/>
    <w:pPr>
      <w:spacing w:after="240" w:line="480" w:lineRule="auto"/>
      <w:jc w:val="center"/>
    </w:pPr>
    <w:rPr>
      <w:rFonts w:ascii="Times" w:eastAsia="Times New Roman" w:hAnsi="Times" w:cs="Times New Roman"/>
      <w:i/>
      <w:sz w:val="24"/>
      <w:szCs w:val="20"/>
    </w:rPr>
  </w:style>
  <w:style w:type="paragraph" w:customStyle="1" w:styleId="BCAuthorAddress">
    <w:name w:val="BC_Author_Address"/>
    <w:basedOn w:val="Normal"/>
    <w:next w:val="Normal"/>
    <w:rsid w:val="008C7366"/>
    <w:pPr>
      <w:spacing w:after="240" w:line="480" w:lineRule="auto"/>
      <w:jc w:val="center"/>
    </w:pPr>
    <w:rPr>
      <w:rFonts w:ascii="Times" w:eastAsia="Times New Roman" w:hAnsi="Times" w:cs="Times New Roman"/>
      <w:sz w:val="24"/>
      <w:szCs w:val="20"/>
    </w:rPr>
  </w:style>
  <w:style w:type="paragraph" w:customStyle="1" w:styleId="FACorrespondingAuthorFootnote">
    <w:name w:val="FA_Corresponding_Author_Footnote"/>
    <w:basedOn w:val="Normal"/>
    <w:next w:val="Normal"/>
    <w:rsid w:val="008C7366"/>
    <w:pPr>
      <w:spacing w:line="480" w:lineRule="auto"/>
      <w:jc w:val="both"/>
    </w:pPr>
    <w:rPr>
      <w:rFonts w:ascii="Times" w:eastAsia="Times New Roman"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30CB2DD3-CA8B-4DE3-9997-8D0BA0722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New York University Abu Dhabi</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Sudhir Kumar Sharma</dc:creator>
  <cp:keywords/>
  <dc:description/>
  <cp:lastModifiedBy>Sudhir Sharma</cp:lastModifiedBy>
  <cp:revision>3</cp:revision>
  <dcterms:created xsi:type="dcterms:W3CDTF">2020-06-08T11:07:00Z</dcterms:created>
  <dcterms:modified xsi:type="dcterms:W3CDTF">2020-06-08T11:09:00Z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sudhir.sharma@nyu.edu@www.mendeley.com</vt:lpwstr>
  </property>
  <property fmtid="{D5CDD505-2E9C-101B-9397-08002B2CF9AE}" pid="4" name="Mendeley Citation Style_1">
    <vt:lpwstr>http://www.zotero.org/styles/advanced-functional-materials</vt:lpwstr>
  </property>
  <property fmtid="{D5CDD505-2E9C-101B-9397-08002B2CF9AE}" pid="5" name="Mendeley Recent Style Id 0_1">
    <vt:lpwstr>http://www.zotero.org/styles/acs-applied-materials-and-interfaces</vt:lpwstr>
  </property>
  <property fmtid="{D5CDD505-2E9C-101B-9397-08002B2CF9AE}" pid="6" name="Mendeley Recent Style Name 0_1">
    <vt:lpwstr>ACS Applied Materials &amp; Interfaces</vt:lpwstr>
  </property>
  <property fmtid="{D5CDD505-2E9C-101B-9397-08002B2CF9AE}" pid="7" name="Mendeley Recent Style Id 1_1">
    <vt:lpwstr>http://www.zotero.org/styles/advanced-functional-materials</vt:lpwstr>
  </property>
  <property fmtid="{D5CDD505-2E9C-101B-9397-08002B2CF9AE}" pid="8" name="Mendeley Recent Style Name 1_1">
    <vt:lpwstr>Advanced Functional Materials</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http://www.zotero.org/styles/applied-surface-science</vt:lpwstr>
  </property>
  <property fmtid="{D5CDD505-2E9C-101B-9397-08002B2CF9AE}" pid="12" name="Mendeley Recent Style Name 3_1">
    <vt:lpwstr>Applied Surface Science</vt:lpwstr>
  </property>
  <property fmtid="{D5CDD505-2E9C-101B-9397-08002B2CF9AE}" pid="13" name="Mendeley Recent Style Id 4_1">
    <vt:lpwstr>http://www.zotero.org/styles/biomaterials</vt:lpwstr>
  </property>
  <property fmtid="{D5CDD505-2E9C-101B-9397-08002B2CF9AE}" pid="14" name="Mendeley Recent Style Name 4_1">
    <vt:lpwstr>Biomaterials</vt:lpwstr>
  </property>
  <property fmtid="{D5CDD505-2E9C-101B-9397-08002B2CF9AE}" pid="15" name="Mendeley Recent Style Id 5_1">
    <vt:lpwstr>http://www.zotero.org/styles/elsevier-harvard</vt:lpwstr>
  </property>
  <property fmtid="{D5CDD505-2E9C-101B-9397-08002B2CF9AE}" pid="16" name="Mendeley Recent Style Name 5_1">
    <vt:lpwstr>Elsevier Harvard (with titles)</vt:lpwstr>
  </property>
  <property fmtid="{D5CDD505-2E9C-101B-9397-08002B2CF9AE}" pid="17" name="Mendeley Recent Style Id 6_1">
    <vt:lpwstr>http://www.zotero.org/styles/journal-of-alloys-and-compounds</vt:lpwstr>
  </property>
  <property fmtid="{D5CDD505-2E9C-101B-9397-08002B2CF9AE}" pid="18" name="Mendeley Recent Style Name 6_1">
    <vt:lpwstr>Journal of Alloys and Compounds</vt:lpwstr>
  </property>
  <property fmtid="{D5CDD505-2E9C-101B-9397-08002B2CF9AE}" pid="19" name="Mendeley Recent Style Id 7_1">
    <vt:lpwstr>http://www.zotero.org/styles/npg-asia-materials</vt:lpwstr>
  </property>
  <property fmtid="{D5CDD505-2E9C-101B-9397-08002B2CF9AE}" pid="20" name="Mendeley Recent Style Name 7_1">
    <vt:lpwstr>NPG Asia Materials</vt:lpwstr>
  </property>
  <property fmtid="{D5CDD505-2E9C-101B-9397-08002B2CF9AE}" pid="21" name="Mendeley Recent Style Id 8_1">
    <vt:lpwstr>http://www.zotero.org/styles/the-journal-of-supercritical-fluids</vt:lpwstr>
  </property>
  <property fmtid="{D5CDD505-2E9C-101B-9397-08002B2CF9AE}" pid="22" name="Mendeley Recent Style Name 8_1">
    <vt:lpwstr>The Journal of Supercritical Fluids</vt:lpwstr>
  </property>
  <property fmtid="{D5CDD505-2E9C-101B-9397-08002B2CF9AE}" pid="23" name="Mendeley Recent Style Id 9_1">
    <vt:lpwstr>http://www.zotero.org/styles/thin-solid-films</vt:lpwstr>
  </property>
  <property fmtid="{D5CDD505-2E9C-101B-9397-08002B2CF9AE}" pid="24" name="Mendeley Recent Style Name 9_1">
    <vt:lpwstr>Thin Solid Films</vt:lpwstr>
  </property>
</Properties>
</file>