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464BBC" w:rsidP="00575E30">
      <w:pPr>
        <w:pStyle w:val="BodyText"/>
        <w:ind w:left="90"/>
        <w:rPr>
          <w:sz w:val="20"/>
        </w:rPr>
      </w:pP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464BBC">
      <w:pPr>
        <w:pStyle w:val="Heading1"/>
        <w:ind w:left="1105" w:right="1062"/>
        <w:jc w:val="center"/>
      </w:pP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Title: </w:t>
      </w:r>
      <w:r w:rsidR="00FE43B4" w:rsidRPr="00FE43B4">
        <w:rPr>
          <w:b/>
        </w:rPr>
        <w:t>Study of properly activated neutral plasma by a method predicted in BSM-SG unified theory and its association to the natural lightning phenomena</w:t>
      </w:r>
    </w:p>
    <w:p w:rsidR="00464BBC" w:rsidRDefault="007A7952">
      <w:pPr>
        <w:pStyle w:val="Heading3"/>
        <w:spacing w:line="214" w:lineRule="exact"/>
        <w:ind w:left="594" w:firstLine="0"/>
      </w:pPr>
      <w:r>
        <w:rPr>
          <w:color w:val="585858"/>
        </w:rPr>
        <w:t>Stoyan Sarg Sargoytchev</w:t>
      </w:r>
    </w:p>
    <w:p w:rsidR="00464BBC" w:rsidRDefault="007A7952" w:rsidP="007A7952">
      <w:pPr>
        <w:pStyle w:val="BodyText"/>
        <w:spacing w:before="126" w:line="231" w:lineRule="exact"/>
        <w:ind w:left="594"/>
      </w:pPr>
      <w:r>
        <w:rPr>
          <w:color w:val="585858"/>
        </w:rPr>
        <w:t xml:space="preserve">York University, Toronto, Canada (retired) 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7A7952">
        <w:rPr>
          <w:color w:val="585858"/>
        </w:rPr>
        <w:t>BSM-SG atomic models, physical vacuum, plasma research, lightning</w:t>
      </w:r>
    </w:p>
    <w:p w:rsidR="00464BBC" w:rsidRDefault="00464BBC" w:rsidP="00071E58">
      <w:pPr>
        <w:pStyle w:val="BodyText"/>
        <w:spacing w:before="10"/>
        <w:rPr>
          <w:b/>
        </w:rPr>
      </w:pPr>
    </w:p>
    <w:p w:rsidR="00CC2E80" w:rsidRDefault="00CC2E80" w:rsidP="00071E58">
      <w:pPr>
        <w:pStyle w:val="BodyText"/>
        <w:spacing w:before="10"/>
        <w:rPr>
          <w:b/>
        </w:rPr>
      </w:pPr>
    </w:p>
    <w:p w:rsidR="00464BBC" w:rsidRDefault="00FE43B4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</w:t>
      </w:r>
    </w:p>
    <w:p w:rsidR="00464BBC" w:rsidRDefault="00FE43B4">
      <w:pPr>
        <w:pStyle w:val="BodyText"/>
        <w:spacing w:before="117"/>
        <w:ind w:left="426"/>
        <w:jc w:val="both"/>
      </w:pPr>
      <w:r w:rsidRPr="00BD10B6">
        <w:rPr>
          <w:sz w:val="20"/>
          <w:szCs w:val="20"/>
        </w:rPr>
        <w:t>A method called the Heterodyne Resonance Mechanism</w:t>
      </w:r>
      <w:r w:rsidR="007B4F3A">
        <w:rPr>
          <w:sz w:val="20"/>
          <w:szCs w:val="20"/>
        </w:rPr>
        <w:t xml:space="preserve"> (HRM)  </w:t>
      </w:r>
      <w:r w:rsidRPr="00BD10B6">
        <w:rPr>
          <w:sz w:val="20"/>
          <w:szCs w:val="20"/>
        </w:rPr>
        <w:t xml:space="preserve"> </w:t>
      </w:r>
      <w:r w:rsidR="007B4F3A">
        <w:rPr>
          <w:sz w:val="20"/>
          <w:szCs w:val="20"/>
        </w:rPr>
        <w:t xml:space="preserve">predicted in BSM-SG unified theory </w:t>
      </w:r>
      <w:r w:rsidR="00702C9B">
        <w:rPr>
          <w:sz w:val="20"/>
          <w:szCs w:val="20"/>
        </w:rPr>
        <w:t>[1</w:t>
      </w:r>
      <w:r w:rsidR="00EB6D2E">
        <w:rPr>
          <w:sz w:val="20"/>
          <w:szCs w:val="20"/>
        </w:rPr>
        <w:t xml:space="preserve">] </w:t>
      </w:r>
      <w:r w:rsidRPr="00BD10B6">
        <w:rPr>
          <w:sz w:val="20"/>
          <w:szCs w:val="20"/>
        </w:rPr>
        <w:t xml:space="preserve">is </w:t>
      </w:r>
      <w:r w:rsidR="007B4F3A">
        <w:rPr>
          <w:sz w:val="20"/>
          <w:szCs w:val="20"/>
        </w:rPr>
        <w:t>studied</w:t>
      </w:r>
      <w:r w:rsidRPr="00BD10B6">
        <w:rPr>
          <w:sz w:val="20"/>
          <w:szCs w:val="20"/>
        </w:rPr>
        <w:t xml:space="preserve"> </w:t>
      </w:r>
      <w:r w:rsidR="007B4F3A">
        <w:rPr>
          <w:sz w:val="20"/>
          <w:szCs w:val="20"/>
        </w:rPr>
        <w:t xml:space="preserve">in </w:t>
      </w:r>
      <w:r w:rsidRPr="00BD10B6">
        <w:rPr>
          <w:sz w:val="20"/>
          <w:szCs w:val="20"/>
        </w:rPr>
        <w:t xml:space="preserve">neutral plasma. It permits </w:t>
      </w:r>
      <w:r w:rsidR="00FA621F">
        <w:rPr>
          <w:sz w:val="20"/>
          <w:szCs w:val="20"/>
        </w:rPr>
        <w:t xml:space="preserve">a </w:t>
      </w:r>
      <w:r w:rsidRPr="00BD10B6">
        <w:rPr>
          <w:sz w:val="20"/>
          <w:szCs w:val="20"/>
        </w:rPr>
        <w:t xml:space="preserve">deeper understanding of the Rydberg state of the atoms, regarded as ion-electron pairs and the Rydberg matter as clusters of such pairs. They exhibit specific oscillations that have a detectable magnetic field and </w:t>
      </w:r>
      <w:r w:rsidR="00FA621F">
        <w:rPr>
          <w:sz w:val="20"/>
          <w:szCs w:val="20"/>
        </w:rPr>
        <w:t xml:space="preserve">a </w:t>
      </w:r>
      <w:r w:rsidRPr="00BD10B6">
        <w:rPr>
          <w:sz w:val="20"/>
          <w:szCs w:val="20"/>
        </w:rPr>
        <w:t xml:space="preserve">measurable spectral signature in the MHz frequency range. </w:t>
      </w:r>
      <w:proofErr w:type="gramStart"/>
      <w:r w:rsidRPr="00BD10B6">
        <w:rPr>
          <w:sz w:val="20"/>
          <w:szCs w:val="20"/>
        </w:rPr>
        <w:t>A properly</w:t>
      </w:r>
      <w:proofErr w:type="gramEnd"/>
      <w:r w:rsidRPr="00BD10B6">
        <w:rPr>
          <w:sz w:val="20"/>
          <w:szCs w:val="20"/>
        </w:rPr>
        <w:t xml:space="preserve"> activated </w:t>
      </w:r>
      <w:r w:rsidR="007B4F3A">
        <w:rPr>
          <w:sz w:val="20"/>
          <w:szCs w:val="20"/>
        </w:rPr>
        <w:t>neutral plasma generates a well-</w:t>
      </w:r>
      <w:r w:rsidRPr="00BD10B6">
        <w:rPr>
          <w:sz w:val="20"/>
          <w:szCs w:val="20"/>
        </w:rPr>
        <w:t>define</w:t>
      </w:r>
      <w:r w:rsidR="007B4F3A">
        <w:rPr>
          <w:sz w:val="20"/>
          <w:szCs w:val="20"/>
        </w:rPr>
        <w:t>d</w:t>
      </w:r>
      <w:r w:rsidRPr="00BD10B6">
        <w:rPr>
          <w:sz w:val="20"/>
          <w:szCs w:val="20"/>
        </w:rPr>
        <w:t xml:space="preserve"> spectral signature </w:t>
      </w:r>
      <w:r w:rsidR="00C445DB">
        <w:rPr>
          <w:sz w:val="20"/>
          <w:szCs w:val="20"/>
        </w:rPr>
        <w:t xml:space="preserve">of the HRM effect </w:t>
      </w:r>
      <w:r w:rsidRPr="00BD10B6">
        <w:rPr>
          <w:sz w:val="20"/>
          <w:szCs w:val="20"/>
        </w:rPr>
        <w:t xml:space="preserve">with identified spectral bands and high signal to noise ratio. The </w:t>
      </w:r>
      <w:r w:rsidR="007B4F3A">
        <w:rPr>
          <w:sz w:val="20"/>
          <w:szCs w:val="20"/>
        </w:rPr>
        <w:t xml:space="preserve">HRM </w:t>
      </w:r>
      <w:r w:rsidRPr="00BD10B6">
        <w:rPr>
          <w:sz w:val="20"/>
          <w:szCs w:val="20"/>
        </w:rPr>
        <w:t>spectra are completely different from the atomic</w:t>
      </w:r>
      <w:r w:rsidR="00702C9B">
        <w:rPr>
          <w:sz w:val="20"/>
          <w:szCs w:val="20"/>
        </w:rPr>
        <w:t>, molecular</w:t>
      </w:r>
      <w:r w:rsidR="00FA621F">
        <w:rPr>
          <w:sz w:val="20"/>
          <w:szCs w:val="20"/>
        </w:rPr>
        <w:t>,</w:t>
      </w:r>
      <w:r w:rsidR="00702C9B">
        <w:rPr>
          <w:sz w:val="20"/>
          <w:szCs w:val="20"/>
        </w:rPr>
        <w:t xml:space="preserve"> and ionic spectra [2</w:t>
      </w:r>
      <w:r w:rsidRPr="00BD10B6">
        <w:rPr>
          <w:sz w:val="20"/>
          <w:szCs w:val="20"/>
        </w:rPr>
        <w:t xml:space="preserve">]. The analysis </w:t>
      </w:r>
      <w:r w:rsidR="007B4F3A">
        <w:rPr>
          <w:sz w:val="20"/>
          <w:szCs w:val="20"/>
        </w:rPr>
        <w:t xml:space="preserve">based on the BSM-SG models </w:t>
      </w:r>
      <w:r w:rsidRPr="00BD10B6">
        <w:rPr>
          <w:sz w:val="20"/>
          <w:szCs w:val="20"/>
        </w:rPr>
        <w:t xml:space="preserve">leads to the conclusion that the electrons in the clusters of ion-electron pairs interact with the physical vacuum via the anomalous magnetic moment and spin </w:t>
      </w:r>
      <w:r w:rsidR="00FA621F">
        <w:rPr>
          <w:sz w:val="20"/>
          <w:szCs w:val="20"/>
        </w:rPr>
        <w:t xml:space="preserve">the </w:t>
      </w:r>
      <w:r w:rsidRPr="00BD10B6">
        <w:rPr>
          <w:sz w:val="20"/>
          <w:szCs w:val="20"/>
        </w:rPr>
        <w:t>flipping of the electron</w:t>
      </w:r>
      <w:r w:rsidR="007B4F3A">
        <w:rPr>
          <w:sz w:val="20"/>
          <w:szCs w:val="20"/>
        </w:rPr>
        <w:t xml:space="preserve">. This takes place </w:t>
      </w:r>
      <w:r w:rsidRPr="00BD10B6">
        <w:rPr>
          <w:sz w:val="20"/>
          <w:szCs w:val="20"/>
        </w:rPr>
        <w:t xml:space="preserve">in a short transient process. Investigating the observations from natural lightning phenomena it is found that a similar process takes place in them and especially in the thunderstorms between clouds and ground. The conclusion is that the enormous energy released in the thunderstorm is from a similar transient process but in a large volume. </w:t>
      </w:r>
      <w:r w:rsidR="00702C9B">
        <w:rPr>
          <w:sz w:val="20"/>
          <w:szCs w:val="20"/>
        </w:rPr>
        <w:t>[3</w:t>
      </w:r>
      <w:proofErr w:type="gramStart"/>
      <w:r w:rsidR="003E089F">
        <w:rPr>
          <w:sz w:val="20"/>
          <w:szCs w:val="20"/>
        </w:rPr>
        <w:t>,4</w:t>
      </w:r>
      <w:proofErr w:type="gramEnd"/>
      <w:r w:rsidR="00EB6D2E">
        <w:rPr>
          <w:sz w:val="20"/>
          <w:szCs w:val="20"/>
        </w:rPr>
        <w:t xml:space="preserve">]. </w:t>
      </w:r>
      <w:r w:rsidRPr="00BD10B6">
        <w:rPr>
          <w:sz w:val="20"/>
          <w:szCs w:val="20"/>
        </w:rPr>
        <w:t>Based on this conclusion a laboratory experiment was built permitting simulating a mini-lightning with a possibility for estimating the input and output energy. A study of the effect with noble gases in closed volume leads to the conclusion for existence of a process of plasma expansion that is not explainable by</w:t>
      </w:r>
      <w:r w:rsidR="00EB6D2E">
        <w:rPr>
          <w:sz w:val="20"/>
          <w:szCs w:val="20"/>
        </w:rPr>
        <w:t xml:space="preserve"> classical thermodynamics</w:t>
      </w:r>
      <w:r w:rsidRPr="00BD10B6">
        <w:rPr>
          <w:sz w:val="20"/>
          <w:szCs w:val="20"/>
        </w:rPr>
        <w:t>.</w:t>
      </w:r>
    </w:p>
    <w:p w:rsidR="00464BBC" w:rsidRDefault="00464BBC">
      <w:pPr>
        <w:pStyle w:val="BodyText"/>
        <w:spacing w:before="2"/>
      </w:pPr>
    </w:p>
    <w:p w:rsidR="007A7952" w:rsidRPr="007A7952" w:rsidRDefault="00EB6D2E" w:rsidP="00C929BF">
      <w:pPr>
        <w:pStyle w:val="Heading3"/>
        <w:numPr>
          <w:ilvl w:val="0"/>
          <w:numId w:val="1"/>
        </w:numPr>
        <w:ind w:left="1890" w:hanging="450"/>
        <w:jc w:val="left"/>
      </w:pPr>
      <w:r>
        <w:rPr>
          <w:color w:val="585858"/>
        </w:rPr>
        <w:t xml:space="preserve">HRM effect in </w:t>
      </w:r>
      <w:r w:rsidR="00FA621F">
        <w:rPr>
          <w:color w:val="585858"/>
        </w:rPr>
        <w:t xml:space="preserve">a </w:t>
      </w:r>
      <w:r>
        <w:rPr>
          <w:color w:val="585858"/>
        </w:rPr>
        <w:t>neutral plasma</w:t>
      </w:r>
    </w:p>
    <w:p w:rsidR="007A7952" w:rsidRDefault="007A7952" w:rsidP="007A7952">
      <w:pPr>
        <w:pStyle w:val="Heading3"/>
        <w:ind w:left="450" w:firstLine="0"/>
      </w:pPr>
    </w:p>
    <w:p w:rsidR="00464BBC" w:rsidRPr="00EB6D2E" w:rsidRDefault="00CF0A41" w:rsidP="007A7952">
      <w:pPr>
        <w:pStyle w:val="Heading3"/>
        <w:ind w:left="450" w:firstLine="0"/>
      </w:pPr>
      <w:r>
        <w:rPr>
          <w:noProof/>
          <w:lang w:val="en-CA" w:eastAsia="en-CA"/>
        </w:rPr>
        <w:drawing>
          <wp:inline distT="0" distB="0" distL="0" distR="0">
            <wp:extent cx="3352800" cy="8477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4BBC" w:rsidRDefault="006D0298" w:rsidP="008872FB">
      <w:pPr>
        <w:pStyle w:val="ListParagraph"/>
        <w:numPr>
          <w:ilvl w:val="0"/>
          <w:numId w:val="1"/>
        </w:numPr>
        <w:tabs>
          <w:tab w:val="left" w:pos="450"/>
        </w:tabs>
        <w:spacing w:before="92"/>
        <w:ind w:left="450" w:firstLine="0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2D3D9C" w:rsidRPr="0027273B" w:rsidRDefault="002D3D9C" w:rsidP="00C929BF">
      <w:pPr>
        <w:widowControl/>
        <w:numPr>
          <w:ilvl w:val="0"/>
          <w:numId w:val="3"/>
        </w:numPr>
        <w:autoSpaceDE/>
        <w:autoSpaceDN/>
        <w:adjustRightInd w:val="0"/>
        <w:spacing w:after="200" w:line="276" w:lineRule="auto"/>
        <w:ind w:left="630" w:right="300"/>
        <w:jc w:val="both"/>
        <w:rPr>
          <w:rFonts w:eastAsia="Calibri"/>
          <w:sz w:val="19"/>
          <w:szCs w:val="19"/>
          <w:lang w:val="en-GB"/>
        </w:rPr>
      </w:pPr>
      <w:r w:rsidRPr="0027273B">
        <w:rPr>
          <w:rFonts w:eastAsia="Calibri"/>
          <w:sz w:val="19"/>
          <w:szCs w:val="19"/>
          <w:lang w:val="en-GB"/>
        </w:rPr>
        <w:t xml:space="preserve">Stoyan Sarg, </w:t>
      </w:r>
      <w:r w:rsidRPr="0027273B">
        <w:rPr>
          <w:rFonts w:eastAsia="Calibri"/>
          <w:i/>
          <w:sz w:val="19"/>
          <w:szCs w:val="19"/>
          <w:lang w:val="en-GB"/>
        </w:rPr>
        <w:t>Basic Structures of Matter –Supergravitation Unified Theory</w:t>
      </w:r>
      <w:r w:rsidR="0027273B">
        <w:rPr>
          <w:rFonts w:eastAsia="Calibri"/>
          <w:sz w:val="19"/>
          <w:szCs w:val="19"/>
          <w:lang w:val="en-GB"/>
        </w:rPr>
        <w:t xml:space="preserve">, </w:t>
      </w:r>
      <w:r w:rsidRPr="0027273B">
        <w:rPr>
          <w:rFonts w:eastAsia="Calibri"/>
          <w:sz w:val="19"/>
          <w:szCs w:val="19"/>
          <w:lang w:val="en-GB"/>
        </w:rPr>
        <w:t xml:space="preserve">2006, ISBN 1412083877 (books review in </w:t>
      </w:r>
      <w:r w:rsidRPr="0027273B">
        <w:rPr>
          <w:rFonts w:eastAsia="Calibri"/>
          <w:sz w:val="19"/>
          <w:szCs w:val="19"/>
          <w:lang w:val="en-CA"/>
        </w:rPr>
        <w:t>"</w:t>
      </w:r>
      <w:r w:rsidRPr="0027273B">
        <w:rPr>
          <w:rFonts w:eastAsia="Calibri"/>
          <w:bCs/>
          <w:sz w:val="19"/>
          <w:szCs w:val="19"/>
          <w:lang w:val="en-CA"/>
        </w:rPr>
        <w:t>Physics in Canada</w:t>
      </w:r>
      <w:r w:rsidRPr="0027273B">
        <w:rPr>
          <w:rFonts w:eastAsia="Calibri"/>
          <w:sz w:val="19"/>
          <w:szCs w:val="19"/>
          <w:lang w:val="en-CA"/>
        </w:rPr>
        <w:t>,</w:t>
      </w:r>
      <w:proofErr w:type="gramStart"/>
      <w:r w:rsidRPr="0027273B">
        <w:rPr>
          <w:rFonts w:eastAsia="Calibri"/>
          <w:sz w:val="19"/>
          <w:szCs w:val="19"/>
          <w:lang w:val="en-CA"/>
        </w:rPr>
        <w:t>",</w:t>
      </w:r>
      <w:proofErr w:type="gramEnd"/>
      <w:r w:rsidRPr="0027273B">
        <w:rPr>
          <w:rFonts w:eastAsia="Calibri"/>
          <w:sz w:val="19"/>
          <w:szCs w:val="19"/>
          <w:lang w:val="en-CA"/>
        </w:rPr>
        <w:t xml:space="preserve"> </w:t>
      </w:r>
      <w:r w:rsidRPr="0027273B">
        <w:rPr>
          <w:rFonts w:eastAsia="Calibri"/>
          <w:b/>
          <w:sz w:val="19"/>
          <w:szCs w:val="19"/>
          <w:lang w:val="en-CA"/>
        </w:rPr>
        <w:t>62</w:t>
      </w:r>
      <w:r w:rsidRPr="0027273B">
        <w:rPr>
          <w:rFonts w:eastAsia="Calibri"/>
          <w:sz w:val="19"/>
          <w:szCs w:val="19"/>
          <w:lang w:val="en-CA"/>
        </w:rPr>
        <w:t>, No. 4, July/Aug, 2006).</w:t>
      </w:r>
    </w:p>
    <w:p w:rsidR="00702C9B" w:rsidRPr="00C929BF" w:rsidRDefault="00CE02CF" w:rsidP="00702C9B">
      <w:pPr>
        <w:pStyle w:val="BodyText"/>
        <w:numPr>
          <w:ilvl w:val="0"/>
          <w:numId w:val="3"/>
        </w:numPr>
        <w:tabs>
          <w:tab w:val="left" w:pos="1037"/>
        </w:tabs>
        <w:ind w:left="630" w:right="696"/>
      </w:pPr>
      <w:r w:rsidRPr="00C15A3A">
        <w:rPr>
          <w:rFonts w:eastAsia="Calibri"/>
          <w:lang w:val="en-CA"/>
        </w:rPr>
        <w:t xml:space="preserve">Stoyan Sarg, </w:t>
      </w:r>
      <w:r w:rsidRPr="00CE02CF">
        <w:rPr>
          <w:bCs/>
          <w:lang w:val="en-CA" w:eastAsia="en-CA"/>
        </w:rPr>
        <w:t>Analysis of the HRM Spectra in Plasma Glow Discharge,</w:t>
      </w:r>
      <w:r w:rsidRPr="00C15A3A">
        <w:rPr>
          <w:bCs/>
          <w:sz w:val="27"/>
          <w:szCs w:val="27"/>
          <w:lang w:val="en-CA" w:eastAsia="en-CA"/>
        </w:rPr>
        <w:t xml:space="preserve"> </w:t>
      </w:r>
      <w:hyperlink r:id="rId7" w:history="1">
        <w:r w:rsidRPr="00C15A3A">
          <w:rPr>
            <w:rFonts w:eastAsia="Calibri"/>
            <w:bCs/>
            <w:color w:val="0000FF"/>
            <w:szCs w:val="22"/>
            <w:u w:val="single"/>
            <w:lang w:val="en-CA"/>
          </w:rPr>
          <w:t>viXra</w:t>
        </w:r>
        <w:proofErr w:type="gramStart"/>
        <w:r w:rsidRPr="00C15A3A">
          <w:rPr>
            <w:rFonts w:eastAsia="Calibri"/>
            <w:bCs/>
            <w:color w:val="0000FF"/>
            <w:szCs w:val="22"/>
            <w:u w:val="single"/>
            <w:lang w:val="en-CA"/>
          </w:rPr>
          <w:t>:1903.0523</w:t>
        </w:r>
        <w:proofErr w:type="gramEnd"/>
      </w:hyperlink>
      <w:r w:rsidRPr="00C15A3A">
        <w:rPr>
          <w:rFonts w:eastAsia="Calibri"/>
          <w:szCs w:val="22"/>
          <w:lang w:val="en-CA"/>
        </w:rPr>
        <w:t xml:space="preserve"> </w:t>
      </w:r>
      <w:r w:rsidRPr="00C15A3A">
        <w:rPr>
          <w:rFonts w:eastAsia="Calibri"/>
          <w:i/>
          <w:iCs/>
          <w:szCs w:val="22"/>
          <w:lang w:val="en-CA"/>
        </w:rPr>
        <w:t xml:space="preserve"> 2019-03-28</w:t>
      </w:r>
      <w:r w:rsidR="009D176C">
        <w:rPr>
          <w:rFonts w:eastAsia="Calibri"/>
          <w:i/>
          <w:iCs/>
          <w:szCs w:val="22"/>
          <w:lang w:val="en-CA"/>
        </w:rPr>
        <w:t>.</w:t>
      </w:r>
    </w:p>
    <w:p w:rsidR="00C929BF" w:rsidRPr="00C929BF" w:rsidRDefault="00C929BF" w:rsidP="00C929BF">
      <w:pPr>
        <w:pStyle w:val="BodyText"/>
        <w:tabs>
          <w:tab w:val="left" w:pos="1037"/>
        </w:tabs>
        <w:ind w:left="630" w:right="696"/>
      </w:pPr>
    </w:p>
    <w:p w:rsidR="00702C9B" w:rsidRPr="00C929BF" w:rsidRDefault="00702C9B" w:rsidP="00C929BF">
      <w:pPr>
        <w:pStyle w:val="BodyText"/>
        <w:numPr>
          <w:ilvl w:val="0"/>
          <w:numId w:val="3"/>
        </w:numPr>
        <w:tabs>
          <w:tab w:val="left" w:pos="1037"/>
        </w:tabs>
        <w:ind w:left="630" w:right="696"/>
      </w:pPr>
      <w:r w:rsidRPr="00C929BF">
        <w:rPr>
          <w:color w:val="585858"/>
        </w:rPr>
        <w:t xml:space="preserve">Stoyan Sarg, Analysis of Natural Lightning Phenomena and Method for Laboratory Study </w:t>
      </w:r>
      <w:hyperlink r:id="rId8" w:history="1">
        <w:r w:rsidRPr="00C929BF">
          <w:rPr>
            <w:bCs/>
            <w:color w:val="0000FF"/>
            <w:sz w:val="20"/>
            <w:szCs w:val="20"/>
            <w:u w:val="single"/>
            <w:lang w:val="en-CA" w:eastAsia="en-CA"/>
          </w:rPr>
          <w:t>viXra</w:t>
        </w:r>
        <w:proofErr w:type="gramStart"/>
        <w:r w:rsidRPr="00C929BF">
          <w:rPr>
            <w:bCs/>
            <w:color w:val="0000FF"/>
            <w:sz w:val="20"/>
            <w:szCs w:val="20"/>
            <w:u w:val="single"/>
            <w:lang w:val="en-CA" w:eastAsia="en-CA"/>
          </w:rPr>
          <w:t>:1911.0207</w:t>
        </w:r>
        <w:proofErr w:type="gramEnd"/>
      </w:hyperlink>
      <w:r w:rsidRPr="00C929BF">
        <w:rPr>
          <w:bCs/>
          <w:sz w:val="20"/>
          <w:szCs w:val="20"/>
          <w:lang w:val="en-CA" w:eastAsia="en-CA"/>
        </w:rPr>
        <w:t xml:space="preserve"> </w:t>
      </w:r>
      <w:r w:rsidR="009D176C" w:rsidRPr="00686566">
        <w:rPr>
          <w:i/>
          <w:iCs/>
          <w:lang w:val="en-CA" w:eastAsia="en-CA"/>
        </w:rPr>
        <w:t>2019-11-17</w:t>
      </w:r>
      <w:r w:rsidR="009D176C">
        <w:rPr>
          <w:i/>
          <w:iCs/>
          <w:lang w:val="en-CA" w:eastAsia="en-CA"/>
        </w:rPr>
        <w:t>.</w:t>
      </w:r>
    </w:p>
    <w:p w:rsidR="00C929BF" w:rsidRDefault="00C929BF" w:rsidP="00C929BF">
      <w:pPr>
        <w:pStyle w:val="ListParagraph"/>
      </w:pPr>
    </w:p>
    <w:p w:rsidR="00C929BF" w:rsidRPr="00CC2E80" w:rsidRDefault="00C929BF" w:rsidP="00C929BF">
      <w:pPr>
        <w:pStyle w:val="BodyText"/>
        <w:numPr>
          <w:ilvl w:val="0"/>
          <w:numId w:val="3"/>
        </w:numPr>
        <w:tabs>
          <w:tab w:val="left" w:pos="1037"/>
        </w:tabs>
        <w:ind w:left="630" w:right="696"/>
      </w:pPr>
      <w:r>
        <w:t xml:space="preserve">Stoyan Sarg, </w:t>
      </w:r>
      <w:r w:rsidRPr="00CC2E80">
        <w:rPr>
          <w:i/>
        </w:rPr>
        <w:t>Hidden Space Energy. The Heterodyne resonance Mechanism: Theory and experiments</w:t>
      </w:r>
      <w:r w:rsidR="00F22E7F">
        <w:rPr>
          <w:i/>
        </w:rPr>
        <w:t xml:space="preserve"> </w:t>
      </w:r>
      <w:r w:rsidR="00F22E7F" w:rsidRPr="00F22E7F">
        <w:t>(2020)</w:t>
      </w:r>
    </w:p>
    <w:p w:rsidR="00CC2E80" w:rsidRPr="00CC2E80" w:rsidRDefault="00CC2E80" w:rsidP="00CC2E80">
      <w:pPr>
        <w:pStyle w:val="BodyText"/>
        <w:tabs>
          <w:tab w:val="left" w:pos="1037"/>
        </w:tabs>
        <w:ind w:left="630" w:right="696"/>
      </w:pPr>
      <w:r w:rsidRPr="00CC2E80">
        <w:t>ISBN 9798604920800</w:t>
      </w:r>
    </w:p>
    <w:p w:rsidR="00464BBC" w:rsidRDefault="00464BBC" w:rsidP="0027273B">
      <w:pPr>
        <w:pStyle w:val="BodyText"/>
        <w:spacing w:before="2"/>
        <w:ind w:left="630" w:hanging="360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9A1CC2" w:rsidP="0027273B">
      <w:pPr>
        <w:pStyle w:val="BodyText"/>
        <w:spacing w:before="119"/>
        <w:ind w:left="316" w:right="300"/>
        <w:jc w:val="both"/>
      </w:pPr>
      <w:r>
        <w:rPr>
          <w:color w:val="585858"/>
        </w:rPr>
        <w:t xml:space="preserve">Stoyan Sargoytchev completed </w:t>
      </w:r>
      <w:r w:rsidR="006D0298">
        <w:rPr>
          <w:color w:val="585858"/>
        </w:rPr>
        <w:t>his Ph</w:t>
      </w:r>
      <w:r w:rsidR="00FA621F">
        <w:rPr>
          <w:color w:val="585858"/>
        </w:rPr>
        <w:t>.D.</w:t>
      </w:r>
      <w:r w:rsidR="006D0298">
        <w:rPr>
          <w:color w:val="585858"/>
        </w:rPr>
        <w:t xml:space="preserve"> </w:t>
      </w:r>
      <w:r>
        <w:rPr>
          <w:color w:val="585858"/>
        </w:rPr>
        <w:t xml:space="preserve">in Physics at Bulgarian Academy of Sciences in 1984 and Postdoctoral Study as </w:t>
      </w:r>
      <w:r w:rsidR="00FA621F">
        <w:rPr>
          <w:color w:val="585858"/>
        </w:rPr>
        <w:t xml:space="preserve">an </w:t>
      </w:r>
      <w:r>
        <w:rPr>
          <w:color w:val="585858"/>
        </w:rPr>
        <w:t xml:space="preserve">invited scientist in a Lidar project at </w:t>
      </w:r>
      <w:r w:rsidR="00E52FFC">
        <w:rPr>
          <w:color w:val="585858"/>
        </w:rPr>
        <w:t xml:space="preserve">the </w:t>
      </w:r>
      <w:r>
        <w:rPr>
          <w:color w:val="585858"/>
        </w:rPr>
        <w:t xml:space="preserve">Arecibo Observatory, </w:t>
      </w:r>
      <w:r w:rsidR="00E52FFC">
        <w:rPr>
          <w:color w:val="585858"/>
        </w:rPr>
        <w:t xml:space="preserve">PR. </w:t>
      </w:r>
      <w:r>
        <w:rPr>
          <w:color w:val="585858"/>
        </w:rPr>
        <w:t>He was involved in space research progra</w:t>
      </w:r>
      <w:r w:rsidR="00E52FFC">
        <w:rPr>
          <w:color w:val="585858"/>
        </w:rPr>
        <w:t>ms</w:t>
      </w:r>
      <w:proofErr w:type="gramStart"/>
      <w:r w:rsidR="00E52FFC">
        <w:rPr>
          <w:color w:val="585858"/>
        </w:rPr>
        <w:t xml:space="preserve">, </w:t>
      </w:r>
      <w:r>
        <w:rPr>
          <w:color w:val="585858"/>
        </w:rPr>
        <w:t xml:space="preserve"> </w:t>
      </w:r>
      <w:r w:rsidR="00E52FFC">
        <w:rPr>
          <w:color w:val="585858"/>
        </w:rPr>
        <w:t>by</w:t>
      </w:r>
      <w:proofErr w:type="gramEnd"/>
      <w:r w:rsidR="00E52FFC">
        <w:rPr>
          <w:color w:val="585858"/>
        </w:rPr>
        <w:t xml:space="preserve"> </w:t>
      </w:r>
      <w:r w:rsidR="00FA621F">
        <w:rPr>
          <w:color w:val="585858"/>
        </w:rPr>
        <w:t xml:space="preserve">the </w:t>
      </w:r>
      <w:r w:rsidR="00E52FFC">
        <w:rPr>
          <w:color w:val="585858"/>
        </w:rPr>
        <w:t>f</w:t>
      </w:r>
      <w:r>
        <w:rPr>
          <w:color w:val="585858"/>
        </w:rPr>
        <w:t xml:space="preserve">ormer Soviet Union, </w:t>
      </w:r>
      <w:r w:rsidR="00E52FFC">
        <w:rPr>
          <w:color w:val="585858"/>
        </w:rPr>
        <w:t>European</w:t>
      </w:r>
      <w:r>
        <w:rPr>
          <w:color w:val="585858"/>
        </w:rPr>
        <w:t xml:space="preserve"> Space Agency and Canadian Space Agency. </w:t>
      </w:r>
      <w:r w:rsidR="00E52FFC">
        <w:rPr>
          <w:color w:val="585858"/>
        </w:rPr>
        <w:t xml:space="preserve">From 1991 he worked as a scientist in Canadian government institutions and universities. He retires from York University in 2012 and currently is a distinguished scientific advisor at the World Institute for Scientific </w:t>
      </w:r>
      <w:r w:rsidR="00FA621F">
        <w:rPr>
          <w:color w:val="585858"/>
        </w:rPr>
        <w:t>E</w:t>
      </w:r>
      <w:r w:rsidR="00E52FFC">
        <w:rPr>
          <w:color w:val="585858"/>
        </w:rPr>
        <w:t xml:space="preserve">xploration. He has over 90 publications in </w:t>
      </w:r>
      <w:r w:rsidR="00E31AE8">
        <w:rPr>
          <w:color w:val="585858"/>
        </w:rPr>
        <w:t>three languages and four books related to his treatise BSM-SG.</w:t>
      </w:r>
    </w:p>
    <w:p w:rsidR="00464BBC" w:rsidRDefault="00464BBC">
      <w:pPr>
        <w:pStyle w:val="BodyText"/>
        <w:spacing w:before="1"/>
      </w:pPr>
    </w:p>
    <w:p w:rsidR="00464BBC" w:rsidRPr="00CC2E80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CC2E80" w:rsidRPr="00E31AE8" w:rsidRDefault="00FA621F" w:rsidP="00CC2E80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</w:pPr>
      <w:r>
        <w:rPr>
          <w:noProof/>
          <w:lang w:val="en-CA" w:eastAsia="en-CA"/>
        </w:rPr>
        <w:drawing>
          <wp:anchor distT="0" distB="0" distL="114300" distR="114300" simplePos="0" relativeHeight="251658752" behindDoc="0" locked="0" layoutInCell="1" allowOverlap="1" wp14:anchorId="45B57BBC" wp14:editId="5E58A3E7">
            <wp:simplePos x="0" y="0"/>
            <wp:positionH relativeFrom="column">
              <wp:posOffset>191135</wp:posOffset>
            </wp:positionH>
            <wp:positionV relativeFrom="paragraph">
              <wp:posOffset>97790</wp:posOffset>
            </wp:positionV>
            <wp:extent cx="1323975" cy="13239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E80" w:rsidRDefault="00CC2E80" w:rsidP="002D3D9C">
      <w:pPr>
        <w:pStyle w:val="NoSpacing"/>
        <w:rPr>
          <w:sz w:val="19"/>
          <w:szCs w:val="19"/>
        </w:rPr>
      </w:pPr>
    </w:p>
    <w:p w:rsidR="00306CA7" w:rsidRPr="00CC2E80" w:rsidRDefault="00306CA7" w:rsidP="002D3D9C">
      <w:pPr>
        <w:pStyle w:val="NoSpacing"/>
        <w:rPr>
          <w:sz w:val="19"/>
          <w:szCs w:val="19"/>
        </w:rPr>
      </w:pPr>
      <w:proofErr w:type="gramStart"/>
      <w:r w:rsidRPr="00CC2E80">
        <w:rPr>
          <w:sz w:val="19"/>
          <w:szCs w:val="19"/>
        </w:rPr>
        <w:t>Stoyan  Sarg</w:t>
      </w:r>
      <w:proofErr w:type="gramEnd"/>
      <w:r w:rsidRPr="00CC2E80">
        <w:rPr>
          <w:sz w:val="19"/>
          <w:szCs w:val="19"/>
        </w:rPr>
        <w:t xml:space="preserve"> </w:t>
      </w:r>
      <w:r w:rsidR="006D0298" w:rsidRPr="00CC2E80">
        <w:rPr>
          <w:sz w:val="19"/>
          <w:szCs w:val="19"/>
        </w:rPr>
        <w:t xml:space="preserve"> </w:t>
      </w:r>
      <w:r w:rsidRPr="00CC2E80">
        <w:rPr>
          <w:sz w:val="19"/>
          <w:szCs w:val="19"/>
        </w:rPr>
        <w:t>Sargoytchev</w:t>
      </w:r>
    </w:p>
    <w:p w:rsidR="002D3D9C" w:rsidRPr="00CC2E80" w:rsidRDefault="002D3D9C" w:rsidP="002D3D9C">
      <w:pPr>
        <w:pStyle w:val="NoSpacing"/>
        <w:rPr>
          <w:sz w:val="19"/>
          <w:szCs w:val="19"/>
        </w:rPr>
      </w:pPr>
    </w:p>
    <w:p w:rsidR="00E31AE8" w:rsidRPr="00CC2E80" w:rsidRDefault="00E31AE8" w:rsidP="002D3D9C">
      <w:pPr>
        <w:pStyle w:val="NoSpacing"/>
        <w:rPr>
          <w:sz w:val="19"/>
          <w:szCs w:val="19"/>
        </w:rPr>
      </w:pPr>
      <w:r w:rsidRPr="00CC2E80">
        <w:rPr>
          <w:sz w:val="19"/>
          <w:szCs w:val="19"/>
        </w:rPr>
        <w:t>Twitter: SARG_BSM</w:t>
      </w:r>
    </w:p>
    <w:p w:rsidR="009A1CC2" w:rsidRPr="00CC2E80" w:rsidRDefault="00E31AE8" w:rsidP="002D3D9C">
      <w:pPr>
        <w:pStyle w:val="NoSpacing"/>
        <w:rPr>
          <w:sz w:val="19"/>
          <w:szCs w:val="19"/>
        </w:rPr>
      </w:pPr>
      <w:r w:rsidRPr="00CC2E80">
        <w:rPr>
          <w:sz w:val="19"/>
          <w:szCs w:val="19"/>
        </w:rPr>
        <w:t xml:space="preserve">LinkedIn: </w:t>
      </w:r>
      <w:r w:rsidR="009A1CC2" w:rsidRPr="00CC2E80">
        <w:rPr>
          <w:sz w:val="19"/>
          <w:szCs w:val="19"/>
        </w:rPr>
        <w:t xml:space="preserve"> </w:t>
      </w:r>
      <w:r w:rsidRPr="00CC2E80">
        <w:rPr>
          <w:sz w:val="19"/>
          <w:szCs w:val="19"/>
        </w:rPr>
        <w:t>sto.sarg@gmail.com</w:t>
      </w:r>
    </w:p>
    <w:p w:rsidR="00464BBC" w:rsidRPr="00CC2E80" w:rsidRDefault="006D0298" w:rsidP="002D3D9C">
      <w:pPr>
        <w:pStyle w:val="NoSpacing"/>
        <w:rPr>
          <w:sz w:val="19"/>
          <w:szCs w:val="19"/>
        </w:rPr>
      </w:pPr>
      <w:r w:rsidRPr="00CC2E80">
        <w:rPr>
          <w:sz w:val="19"/>
          <w:szCs w:val="19"/>
        </w:rPr>
        <w:t>Session name/ number:</w:t>
      </w:r>
    </w:p>
    <w:p w:rsidR="00464BBC" w:rsidRDefault="002D3D9C" w:rsidP="002D3D9C">
      <w:pPr>
        <w:pStyle w:val="NoSpacing"/>
        <w:rPr>
          <w:sz w:val="18"/>
        </w:rPr>
        <w:sectPr w:rsidR="00464BBC" w:rsidSect="0027273B">
          <w:type w:val="continuous"/>
          <w:pgSz w:w="11910" w:h="16840"/>
          <w:pgMar w:top="600" w:right="480" w:bottom="280" w:left="140" w:header="720" w:footer="720" w:gutter="0"/>
          <w:cols w:num="2" w:space="720" w:equalWidth="0">
            <w:col w:w="5639" w:space="40"/>
            <w:col w:w="5611"/>
          </w:cols>
        </w:sectPr>
      </w:pPr>
      <w:r w:rsidRPr="00CC2E80">
        <w:rPr>
          <w:sz w:val="19"/>
          <w:szCs w:val="19"/>
        </w:rPr>
        <w:t>Category: (Webinar presentation)</w:t>
      </w:r>
      <w:r>
        <w:t xml:space="preserve"> </w:t>
      </w:r>
      <w:r w:rsidR="00E31AE8">
        <w:t xml:space="preserve"> </w:t>
      </w:r>
    </w:p>
    <w:p w:rsidR="00464BBC" w:rsidRDefault="00464BBC">
      <w:pPr>
        <w:pStyle w:val="BodyText"/>
        <w:rPr>
          <w:sz w:val="20"/>
        </w:rPr>
      </w:pPr>
    </w:p>
    <w:p w:rsidR="00CC2E80" w:rsidRDefault="00CC2E80">
      <w:pPr>
        <w:pStyle w:val="BodyText"/>
        <w:rPr>
          <w:sz w:val="20"/>
        </w:rPr>
      </w:pPr>
    </w:p>
    <w:p w:rsidR="00CC2E80" w:rsidRDefault="00CC2E80">
      <w:pPr>
        <w:pStyle w:val="BodyText"/>
        <w:rPr>
          <w:sz w:val="20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CA" w:eastAsia="en-CA"/>
        </w:rPr>
        <mc:AlternateContent>
          <mc:Choice Requires="wpg">
            <w:drawing>
              <wp:inline distT="0" distB="0" distL="0" distR="0" wp14:anchorId="783F151C" wp14:editId="2719BDCC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F2B4D"/>
    <w:multiLevelType w:val="hybridMultilevel"/>
    <w:tmpl w:val="09BE1594"/>
    <w:lvl w:ilvl="0" w:tplc="4208B1A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6A5191"/>
    <w:multiLevelType w:val="hybridMultilevel"/>
    <w:tmpl w:val="CC0EED12"/>
    <w:lvl w:ilvl="0" w:tplc="6714F1A4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10" w:hanging="360"/>
      </w:pPr>
    </w:lvl>
    <w:lvl w:ilvl="2" w:tplc="1009001B" w:tentative="1">
      <w:start w:val="1"/>
      <w:numFmt w:val="lowerRoman"/>
      <w:lvlText w:val="%3."/>
      <w:lvlJc w:val="right"/>
      <w:pPr>
        <w:ind w:left="2430" w:hanging="180"/>
      </w:pPr>
    </w:lvl>
    <w:lvl w:ilvl="3" w:tplc="1009000F" w:tentative="1">
      <w:start w:val="1"/>
      <w:numFmt w:val="decimal"/>
      <w:lvlText w:val="%4."/>
      <w:lvlJc w:val="left"/>
      <w:pPr>
        <w:ind w:left="3150" w:hanging="360"/>
      </w:pPr>
    </w:lvl>
    <w:lvl w:ilvl="4" w:tplc="10090019" w:tentative="1">
      <w:start w:val="1"/>
      <w:numFmt w:val="lowerLetter"/>
      <w:lvlText w:val="%5."/>
      <w:lvlJc w:val="left"/>
      <w:pPr>
        <w:ind w:left="3870" w:hanging="360"/>
      </w:pPr>
    </w:lvl>
    <w:lvl w:ilvl="5" w:tplc="1009001B" w:tentative="1">
      <w:start w:val="1"/>
      <w:numFmt w:val="lowerRoman"/>
      <w:lvlText w:val="%6."/>
      <w:lvlJc w:val="right"/>
      <w:pPr>
        <w:ind w:left="4590" w:hanging="180"/>
      </w:pPr>
    </w:lvl>
    <w:lvl w:ilvl="6" w:tplc="1009000F" w:tentative="1">
      <w:start w:val="1"/>
      <w:numFmt w:val="decimal"/>
      <w:lvlText w:val="%7."/>
      <w:lvlJc w:val="left"/>
      <w:pPr>
        <w:ind w:left="5310" w:hanging="360"/>
      </w:pPr>
    </w:lvl>
    <w:lvl w:ilvl="7" w:tplc="10090019" w:tentative="1">
      <w:start w:val="1"/>
      <w:numFmt w:val="lowerLetter"/>
      <w:lvlText w:val="%8."/>
      <w:lvlJc w:val="left"/>
      <w:pPr>
        <w:ind w:left="6030" w:hanging="360"/>
      </w:pPr>
    </w:lvl>
    <w:lvl w:ilvl="8" w:tplc="1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3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4">
    <w:nsid w:val="6C34434E"/>
    <w:multiLevelType w:val="hybridMultilevel"/>
    <w:tmpl w:val="3AB81592"/>
    <w:lvl w:ilvl="0" w:tplc="31CCD5DE">
      <w:start w:val="3"/>
      <w:numFmt w:val="decimal"/>
      <w:lvlText w:val="%1."/>
      <w:lvlJc w:val="left"/>
      <w:pPr>
        <w:ind w:left="990" w:hanging="360"/>
      </w:pPr>
      <w:rPr>
        <w:rFonts w:hint="default"/>
        <w:color w:val="585858"/>
      </w:rPr>
    </w:lvl>
    <w:lvl w:ilvl="1" w:tplc="10090019" w:tentative="1">
      <w:start w:val="1"/>
      <w:numFmt w:val="lowerLetter"/>
      <w:lvlText w:val="%2."/>
      <w:lvlJc w:val="left"/>
      <w:pPr>
        <w:ind w:left="1710" w:hanging="360"/>
      </w:pPr>
    </w:lvl>
    <w:lvl w:ilvl="2" w:tplc="1009001B" w:tentative="1">
      <w:start w:val="1"/>
      <w:numFmt w:val="lowerRoman"/>
      <w:lvlText w:val="%3."/>
      <w:lvlJc w:val="right"/>
      <w:pPr>
        <w:ind w:left="2430" w:hanging="180"/>
      </w:pPr>
    </w:lvl>
    <w:lvl w:ilvl="3" w:tplc="1009000F" w:tentative="1">
      <w:start w:val="1"/>
      <w:numFmt w:val="decimal"/>
      <w:lvlText w:val="%4."/>
      <w:lvlJc w:val="left"/>
      <w:pPr>
        <w:ind w:left="3150" w:hanging="360"/>
      </w:pPr>
    </w:lvl>
    <w:lvl w:ilvl="4" w:tplc="10090019" w:tentative="1">
      <w:start w:val="1"/>
      <w:numFmt w:val="lowerLetter"/>
      <w:lvlText w:val="%5."/>
      <w:lvlJc w:val="left"/>
      <w:pPr>
        <w:ind w:left="3870" w:hanging="360"/>
      </w:pPr>
    </w:lvl>
    <w:lvl w:ilvl="5" w:tplc="1009001B" w:tentative="1">
      <w:start w:val="1"/>
      <w:numFmt w:val="lowerRoman"/>
      <w:lvlText w:val="%6."/>
      <w:lvlJc w:val="right"/>
      <w:pPr>
        <w:ind w:left="4590" w:hanging="180"/>
      </w:pPr>
    </w:lvl>
    <w:lvl w:ilvl="6" w:tplc="1009000F" w:tentative="1">
      <w:start w:val="1"/>
      <w:numFmt w:val="decimal"/>
      <w:lvlText w:val="%7."/>
      <w:lvlJc w:val="left"/>
      <w:pPr>
        <w:ind w:left="5310" w:hanging="360"/>
      </w:pPr>
    </w:lvl>
    <w:lvl w:ilvl="7" w:tplc="10090019" w:tentative="1">
      <w:start w:val="1"/>
      <w:numFmt w:val="lowerLetter"/>
      <w:lvlText w:val="%8."/>
      <w:lvlJc w:val="left"/>
      <w:pPr>
        <w:ind w:left="6030" w:hanging="360"/>
      </w:pPr>
    </w:lvl>
    <w:lvl w:ilvl="8" w:tplc="10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wtTQ1MjIwNzQ2MzFR0lEKTi0uzszPAykwrAUAWpmGtiwAAAA="/>
  </w:docVars>
  <w:rsids>
    <w:rsidRoot w:val="00464BBC"/>
    <w:rsid w:val="000307EF"/>
    <w:rsid w:val="00071E58"/>
    <w:rsid w:val="00152E98"/>
    <w:rsid w:val="001C4F22"/>
    <w:rsid w:val="0027273B"/>
    <w:rsid w:val="002A27E1"/>
    <w:rsid w:val="002D3D9C"/>
    <w:rsid w:val="00306CA7"/>
    <w:rsid w:val="003E089F"/>
    <w:rsid w:val="00464BBC"/>
    <w:rsid w:val="00472291"/>
    <w:rsid w:val="004B3697"/>
    <w:rsid w:val="00553F98"/>
    <w:rsid w:val="00575E30"/>
    <w:rsid w:val="006D0298"/>
    <w:rsid w:val="00702C9B"/>
    <w:rsid w:val="007A7952"/>
    <w:rsid w:val="007B4F3A"/>
    <w:rsid w:val="00822921"/>
    <w:rsid w:val="008872FB"/>
    <w:rsid w:val="00971A3E"/>
    <w:rsid w:val="009A1CC2"/>
    <w:rsid w:val="009D176C"/>
    <w:rsid w:val="00B644E2"/>
    <w:rsid w:val="00C445DB"/>
    <w:rsid w:val="00C929BF"/>
    <w:rsid w:val="00CB5046"/>
    <w:rsid w:val="00CC2E80"/>
    <w:rsid w:val="00CE02CF"/>
    <w:rsid w:val="00CF0A41"/>
    <w:rsid w:val="00D026DA"/>
    <w:rsid w:val="00E31AE8"/>
    <w:rsid w:val="00E52FFC"/>
    <w:rsid w:val="00EB6D2E"/>
    <w:rsid w:val="00EC7A65"/>
    <w:rsid w:val="00F22E7F"/>
    <w:rsid w:val="00FA621F"/>
    <w:rsid w:val="00FE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06CA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06CA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xra.org/abs/1911.020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ixra.org/abs/1903.05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Stoyan</cp:lastModifiedBy>
  <cp:revision>5</cp:revision>
  <cp:lastPrinted>2018-01-24T10:23:00Z</cp:lastPrinted>
  <dcterms:created xsi:type="dcterms:W3CDTF">2020-05-15T23:37:00Z</dcterms:created>
  <dcterms:modified xsi:type="dcterms:W3CDTF">2020-05-16T00:08:00Z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