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3ED" w:rsidRDefault="003B03ED" w:rsidP="00BA13B7">
      <w:pPr>
        <w:pStyle w:val="BodyText"/>
        <w:spacing w:before="73" w:line="276" w:lineRule="auto"/>
        <w:ind w:right="970"/>
        <w:rPr>
          <w:rFonts w:ascii="Minion Pro" w:eastAsia="Minion Pro" w:hAnsi="Minion Pro" w:cs="Minion Pro"/>
          <w:b/>
          <w:bCs/>
          <w:color w:val="337AB7"/>
          <w:sz w:val="36"/>
          <w:szCs w:val="36"/>
        </w:rPr>
      </w:pPr>
    </w:p>
    <w:p w:rsidR="00BA13B7" w:rsidRPr="00BA13B7" w:rsidRDefault="00672BA1" w:rsidP="00BA13B7">
      <w:pPr>
        <w:pStyle w:val="BodyText"/>
        <w:spacing w:before="73" w:line="276" w:lineRule="auto"/>
        <w:ind w:right="970"/>
        <w:rPr>
          <w:rFonts w:ascii="Minion Pro" w:eastAsia="Minion Pro" w:hAnsi="Minion Pro" w:cs="Minion Pro"/>
          <w:b/>
          <w:bCs/>
          <w:color w:val="337AB7"/>
          <w:sz w:val="36"/>
          <w:szCs w:val="36"/>
        </w:rPr>
      </w:pPr>
      <w:bookmarkStart w:id="0" w:name="_GoBack"/>
      <w:bookmarkEnd w:id="0"/>
      <w:r>
        <w:rPr>
          <w:rFonts w:ascii="Minion Pro" w:eastAsia="Minion Pro" w:hAnsi="Minion Pro" w:cs="Minion Pro"/>
          <w:b/>
          <w:bCs/>
          <w:color w:val="337AB7"/>
          <w:sz w:val="36"/>
          <w:szCs w:val="36"/>
        </w:rPr>
        <w:t xml:space="preserve">Advanced cell therapy and </w:t>
      </w:r>
      <w:r w:rsidR="00A07369">
        <w:rPr>
          <w:rFonts w:ascii="Minion Pro" w:eastAsia="Minion Pro" w:hAnsi="Minion Pro" w:cs="Minion Pro"/>
          <w:b/>
          <w:bCs/>
          <w:color w:val="337AB7"/>
          <w:sz w:val="36"/>
          <w:szCs w:val="36"/>
        </w:rPr>
        <w:t>exosome</w:t>
      </w:r>
      <w:r w:rsidRPr="00672BA1">
        <w:rPr>
          <w:rFonts w:ascii="Minion Pro" w:eastAsia="Minion Pro" w:hAnsi="Minion Pro" w:cs="Minion Pro"/>
          <w:b/>
          <w:bCs/>
          <w:color w:val="337AB7"/>
          <w:sz w:val="36"/>
          <w:szCs w:val="36"/>
        </w:rPr>
        <w:t>-assisted gene ther</w:t>
      </w:r>
      <w:r>
        <w:rPr>
          <w:rFonts w:ascii="Minion Pro" w:eastAsia="Minion Pro" w:hAnsi="Minion Pro" w:cs="Minion Pro"/>
          <w:b/>
          <w:bCs/>
          <w:color w:val="337AB7"/>
          <w:sz w:val="36"/>
          <w:szCs w:val="36"/>
        </w:rPr>
        <w:t xml:space="preserve">apy in corneal regeneration; an </w:t>
      </w:r>
      <w:r w:rsidRPr="00672BA1">
        <w:rPr>
          <w:rFonts w:ascii="Minion Pro" w:eastAsia="Minion Pro" w:hAnsi="Minion Pro" w:cs="Minion Pro"/>
          <w:b/>
          <w:bCs/>
          <w:color w:val="337AB7"/>
          <w:sz w:val="36"/>
          <w:szCs w:val="36"/>
        </w:rPr>
        <w:t>ophthalmic hypothesis paper</w:t>
      </w:r>
    </w:p>
    <w:p w:rsidR="00BA13B7" w:rsidRPr="00BA13B7" w:rsidRDefault="00BA13B7" w:rsidP="00BA13B7">
      <w:pPr>
        <w:pStyle w:val="BodyText"/>
        <w:spacing w:before="73" w:line="198" w:lineRule="exact"/>
        <w:ind w:left="100" w:right="970"/>
        <w:rPr>
          <w:rFonts w:ascii="Arial"/>
        </w:rPr>
      </w:pPr>
      <w:r>
        <w:rPr>
          <w:rFonts w:ascii="Arial"/>
        </w:rPr>
        <w:t>Mahsa Yousefpour Marzbali MSc,</w:t>
      </w:r>
      <w:r w:rsidRPr="00BA13B7">
        <w:rPr>
          <w:rFonts w:ascii="Arial"/>
        </w:rPr>
        <w:t xml:space="preserve"> </w:t>
      </w:r>
      <w:r w:rsidRPr="00BA13B7">
        <w:rPr>
          <w:rFonts w:ascii="Arial"/>
        </w:rPr>
        <w:t>Sey</w:t>
      </w:r>
      <w:r>
        <w:rPr>
          <w:rFonts w:ascii="Arial"/>
        </w:rPr>
        <w:t>ed-Farzad Mohammadi MD MPH FICO</w:t>
      </w:r>
    </w:p>
    <w:p w:rsidR="00AE3E37" w:rsidRPr="007B03E2" w:rsidRDefault="00BA13B7" w:rsidP="007B03E2">
      <w:pPr>
        <w:pStyle w:val="BodyText"/>
        <w:spacing w:before="73" w:line="198" w:lineRule="exact"/>
        <w:ind w:left="100" w:right="970"/>
        <w:rPr>
          <w:rFonts w:ascii="Arial"/>
        </w:rPr>
        <w:sectPr w:rsidR="00AE3E37" w:rsidRPr="007B03E2" w:rsidSect="00672BA1">
          <w:headerReference w:type="default" r:id="rId7"/>
          <w:footerReference w:type="default" r:id="rId8"/>
          <w:type w:val="continuous"/>
          <w:pgSz w:w="11910" w:h="16840"/>
          <w:pgMar w:top="1740" w:right="600" w:bottom="840" w:left="620" w:header="541" w:footer="642" w:gutter="0"/>
          <w:cols w:space="720"/>
        </w:sectPr>
      </w:pPr>
      <w:r w:rsidRPr="00BA13B7">
        <w:rPr>
          <w:rFonts w:ascii="Arial"/>
        </w:rPr>
        <w:t>Translational Ophthalmology Research Center, Farabi Eye Hospital, Tehran University of Medical Sciences, Tehran, Iran</w:t>
      </w:r>
    </w:p>
    <w:p w:rsidR="00672BA1" w:rsidRDefault="00672BA1" w:rsidP="00672BA1">
      <w:pPr>
        <w:pStyle w:val="BodyText"/>
        <w:spacing w:before="90" w:line="280" w:lineRule="auto"/>
        <w:ind w:right="970"/>
        <w:jc w:val="both"/>
        <w:sectPr w:rsidR="00672BA1" w:rsidSect="00672BA1">
          <w:type w:val="continuous"/>
          <w:pgSz w:w="11910" w:h="16840"/>
          <w:pgMar w:top="1740" w:right="600" w:bottom="840" w:left="620" w:header="720" w:footer="720" w:gutter="0"/>
          <w:cols w:space="720"/>
        </w:sectPr>
      </w:pPr>
    </w:p>
    <w:p w:rsidR="00672BA1" w:rsidRDefault="00672BA1" w:rsidP="007B03E2">
      <w:pPr>
        <w:pStyle w:val="BodyText"/>
        <w:spacing w:before="90" w:line="280" w:lineRule="auto"/>
        <w:jc w:val="both"/>
        <w:sectPr w:rsidR="00672BA1" w:rsidSect="00672BA1">
          <w:type w:val="continuous"/>
          <w:pgSz w:w="11910" w:h="16840"/>
          <w:pgMar w:top="1740" w:right="600" w:bottom="840" w:left="620" w:header="720" w:footer="720" w:gutter="0"/>
          <w:cols w:space="720"/>
        </w:sectPr>
      </w:pPr>
    </w:p>
    <w:p w:rsidR="00672BA1" w:rsidRPr="00672BA1" w:rsidRDefault="00A9710C" w:rsidP="007B03E2">
      <w:pPr>
        <w:pStyle w:val="BodyText"/>
        <w:spacing w:before="90" w:line="280" w:lineRule="auto"/>
        <w:ind w:left="90"/>
        <w:jc w:val="both"/>
      </w:pPr>
      <w:r>
        <w:lastRenderedPageBreak/>
        <w:t xml:space="preserve">Statement of the Problem: </w:t>
      </w:r>
      <w:r w:rsidR="00672BA1" w:rsidRPr="00672BA1">
        <w:t>The corneal epithelium is the main focus in corneal regeneration. Normally corneal epithelial health is maintained by limbal epithelial stem cells, which reside in a highly regulated microenvironment named limbal niche; a specialized microstructure in contiguity with conjunctival epithelium posteriorly and corneal epithelium anteriorly with their extracellular scaffold and morphogens (diffusible ligands) at corneoscleral junction. But stem cells and their daughters are not alone in the niche. Many cells are responsible for stem cell support and tissue maintenance and regeneration, namely at limbus: melanocytes, fibroblasts, and telocyte.</w:t>
      </w:r>
    </w:p>
    <w:p w:rsidR="00672BA1" w:rsidRPr="00672BA1" w:rsidRDefault="00672BA1" w:rsidP="00672BA1">
      <w:pPr>
        <w:pStyle w:val="BodyText"/>
        <w:spacing w:before="90" w:line="280" w:lineRule="auto"/>
        <w:ind w:left="100"/>
        <w:jc w:val="both"/>
      </w:pPr>
      <w:r w:rsidRPr="00672BA1">
        <w:t>Methodology &amp; Theoretical Orientation: We studied telocyte role and function in the limbal niche and elsewhere along with other interstitial supportive elements i.e.melanocytes and fibroblasts. We focused on telocytes’ crucial effect on limbal stem cells regeneration and explored the potential of telocytes for limbal stem cells gene therapy.</w:t>
      </w:r>
      <w:r>
        <w:t xml:space="preserve"> </w:t>
      </w:r>
      <w:r w:rsidRPr="00672BA1">
        <w:t>Conclusion &amp; Significance:</w:t>
      </w:r>
      <w:r>
        <w:t xml:space="preserve"> </w:t>
      </w:r>
      <w:r w:rsidRPr="00672BA1">
        <w:t>Telocytes have effects beyond ‘nursing’ and they seems to have programming influence on microenvironment, niche and stem cells. The ultimate proximity of telocytes to limbal stem cells and their specialized connecting and programming features of telopodes and exosomes make them the optimal choice for intrinsic gene therapy by naked pDNA and microRNA, for instance.</w:t>
      </w:r>
      <w:r>
        <w:t xml:space="preserve"> </w:t>
      </w:r>
      <w:r w:rsidRPr="00672BA1">
        <w:t>Telocytes morphologic and cellular characteristics can be exploited in limbal stem cell differentiation and expansion for corneal regeneration.</w:t>
      </w:r>
    </w:p>
    <w:p w:rsidR="00AE3E37" w:rsidRDefault="00A9710C" w:rsidP="00672BA1">
      <w:pPr>
        <w:pStyle w:val="BodyText"/>
        <w:spacing w:before="90" w:line="280" w:lineRule="auto"/>
        <w:ind w:left="100"/>
        <w:jc w:val="both"/>
      </w:pPr>
      <w:r>
        <w:t xml:space="preserve"> </w:t>
      </w:r>
    </w:p>
    <w:p w:rsidR="00AE3E37" w:rsidRDefault="00AE3E37">
      <w:pPr>
        <w:pStyle w:val="BodyText"/>
        <w:spacing w:before="2"/>
        <w:rPr>
          <w:rFonts w:ascii="Arial"/>
          <w:b/>
          <w:sz w:val="16"/>
        </w:rPr>
      </w:pPr>
    </w:p>
    <w:p w:rsidR="005973B9" w:rsidRDefault="005973B9" w:rsidP="00E96C01">
      <w:pPr>
        <w:spacing w:line="204" w:lineRule="exact"/>
        <w:rPr>
          <w:rFonts w:ascii="Arial"/>
          <w:b/>
          <w:sz w:val="20"/>
        </w:rPr>
      </w:pPr>
      <w:r>
        <w:rPr>
          <w:rFonts w:ascii="Arial"/>
          <w:b/>
          <w:color w:val="BF5A14"/>
          <w:sz w:val="20"/>
        </w:rPr>
        <w:br/>
        <w:t xml:space="preserve">Recent Publications </w:t>
      </w:r>
    </w:p>
    <w:p w:rsidR="00175E99" w:rsidRPr="00F45893" w:rsidRDefault="00175E99" w:rsidP="00F45893">
      <w:pPr>
        <w:tabs>
          <w:tab w:val="left" w:pos="384"/>
        </w:tabs>
        <w:spacing w:before="103" w:line="216" w:lineRule="exact"/>
        <w:ind w:right="138"/>
        <w:rPr>
          <w:sz w:val="18"/>
        </w:rPr>
      </w:pPr>
    </w:p>
    <w:p w:rsidR="00312B57" w:rsidRDefault="00312B57" w:rsidP="00312B57">
      <w:pPr>
        <w:pStyle w:val="ListParagraph"/>
        <w:numPr>
          <w:ilvl w:val="0"/>
          <w:numId w:val="3"/>
        </w:numPr>
        <w:tabs>
          <w:tab w:val="left" w:pos="384"/>
        </w:tabs>
        <w:spacing w:before="103" w:line="216" w:lineRule="exact"/>
        <w:ind w:right="138" w:hanging="283"/>
        <w:rPr>
          <w:sz w:val="18"/>
        </w:rPr>
      </w:pPr>
      <w:r w:rsidRPr="00312B57">
        <w:rPr>
          <w:sz w:val="18"/>
        </w:rPr>
        <w:t>Luesma, María José, Mihaela Gherghiceanu, and Laurenţiu M. Popescu. "Telocytes and stem cells in limbus and uvea of mouse eye." </w:t>
      </w:r>
      <w:r w:rsidRPr="00312B57">
        <w:rPr>
          <w:i/>
          <w:iCs/>
          <w:sz w:val="18"/>
        </w:rPr>
        <w:t>Journal of cellular and molecular medicine</w:t>
      </w:r>
      <w:r w:rsidRPr="00312B57">
        <w:rPr>
          <w:sz w:val="18"/>
        </w:rPr>
        <w:t> 17.8 (2013): 1016-1024.</w:t>
      </w:r>
    </w:p>
    <w:p w:rsidR="00F45893" w:rsidRDefault="00F45893" w:rsidP="00F45893">
      <w:pPr>
        <w:pStyle w:val="ListParagraph"/>
        <w:numPr>
          <w:ilvl w:val="0"/>
          <w:numId w:val="3"/>
        </w:numPr>
        <w:tabs>
          <w:tab w:val="left" w:pos="384"/>
        </w:tabs>
        <w:spacing w:before="103" w:line="216" w:lineRule="exact"/>
        <w:ind w:right="138" w:hanging="283"/>
        <w:rPr>
          <w:sz w:val="18"/>
        </w:rPr>
      </w:pPr>
      <w:r w:rsidRPr="00F45893">
        <w:rPr>
          <w:sz w:val="18"/>
        </w:rPr>
        <w:t>Hao, Jinsong, et al. "Gene delivery to cornea." </w:t>
      </w:r>
      <w:r w:rsidRPr="00F45893">
        <w:rPr>
          <w:i/>
          <w:iCs/>
          <w:sz w:val="18"/>
        </w:rPr>
        <w:t>Brain research bulletin</w:t>
      </w:r>
      <w:r w:rsidRPr="00F45893">
        <w:rPr>
          <w:sz w:val="18"/>
        </w:rPr>
        <w:t> 81.2 (2010): 256-261.</w:t>
      </w:r>
    </w:p>
    <w:p w:rsidR="00175E99" w:rsidRPr="00175E99" w:rsidRDefault="00175E99" w:rsidP="00312B57">
      <w:pPr>
        <w:pStyle w:val="BodyText"/>
        <w:numPr>
          <w:ilvl w:val="0"/>
          <w:numId w:val="3"/>
        </w:numPr>
        <w:spacing w:before="85" w:line="216" w:lineRule="exact"/>
        <w:ind w:right="138"/>
        <w:jc w:val="both"/>
        <w:rPr>
          <w:rFonts w:ascii="Calibri" w:eastAsia="Calibri" w:hAnsi="Calibri" w:cs="Calibri"/>
          <w:szCs w:val="22"/>
        </w:rPr>
      </w:pPr>
      <w:r w:rsidRPr="00312B57">
        <w:rPr>
          <w:rFonts w:ascii="Calibri" w:hAnsi="Calibri"/>
        </w:rPr>
        <w:t>Edelstein, Lawrence, et al. "Telocytes in their context with other intercellular communication agents." </w:t>
      </w:r>
      <w:r w:rsidRPr="00312B57">
        <w:rPr>
          <w:rFonts w:ascii="Calibri" w:hAnsi="Calibri"/>
          <w:i/>
          <w:iCs/>
        </w:rPr>
        <w:t>Seminars in cell &amp; developmental biology</w:t>
      </w:r>
      <w:r w:rsidRPr="00312B57">
        <w:rPr>
          <w:rFonts w:ascii="Calibri" w:hAnsi="Calibri"/>
        </w:rPr>
        <w:t>. Vol. 55. Academic Press, 2016.</w:t>
      </w:r>
    </w:p>
    <w:p w:rsidR="00312B57" w:rsidRDefault="00312B57" w:rsidP="00312B57">
      <w:pPr>
        <w:pStyle w:val="BodyText"/>
        <w:numPr>
          <w:ilvl w:val="0"/>
          <w:numId w:val="3"/>
        </w:numPr>
        <w:spacing w:before="85" w:line="216" w:lineRule="exact"/>
        <w:ind w:right="138"/>
        <w:jc w:val="both"/>
        <w:rPr>
          <w:rFonts w:ascii="Calibri" w:eastAsia="Calibri" w:hAnsi="Calibri" w:cs="Calibri"/>
          <w:szCs w:val="22"/>
        </w:rPr>
      </w:pPr>
      <w:r w:rsidRPr="00350885">
        <w:rPr>
          <w:rFonts w:ascii="Calibri" w:eastAsia="Calibri" w:hAnsi="Calibri" w:cs="Calibri"/>
          <w:szCs w:val="22"/>
        </w:rPr>
        <w:t>Smythies, John, and Lawrence Edelstein. "Telocytes, exosomes, gap junctions and the cytoskeleton: the makings of a primitive nervous system?." </w:t>
      </w:r>
      <w:r w:rsidRPr="00350885">
        <w:rPr>
          <w:rFonts w:ascii="Calibri" w:eastAsia="Calibri" w:hAnsi="Calibri" w:cs="Calibri"/>
          <w:i/>
          <w:iCs/>
          <w:szCs w:val="22"/>
        </w:rPr>
        <w:t>Frontiers in cellular neuroscience</w:t>
      </w:r>
      <w:r w:rsidRPr="00350885">
        <w:rPr>
          <w:rFonts w:ascii="Calibri" w:eastAsia="Calibri" w:hAnsi="Calibri" w:cs="Calibri"/>
          <w:szCs w:val="22"/>
        </w:rPr>
        <w:t> 7 (2013).</w:t>
      </w:r>
    </w:p>
    <w:p w:rsidR="00312B57" w:rsidRPr="00175E99" w:rsidRDefault="00175E99" w:rsidP="00175E99">
      <w:pPr>
        <w:pStyle w:val="ListParagraph"/>
        <w:numPr>
          <w:ilvl w:val="0"/>
          <w:numId w:val="3"/>
        </w:numPr>
        <w:tabs>
          <w:tab w:val="left" w:pos="384"/>
        </w:tabs>
        <w:spacing w:before="103" w:line="216" w:lineRule="exact"/>
        <w:ind w:right="138"/>
        <w:rPr>
          <w:sz w:val="18"/>
        </w:rPr>
      </w:pPr>
      <w:r w:rsidRPr="00175E99">
        <w:rPr>
          <w:sz w:val="18"/>
        </w:rPr>
        <w:t>J O'Loughlin, Aisling, Caroline A Woffindale, and Matthew JA Wood. "Exosomes and the emerging field of exosome-based gene therapy." </w:t>
      </w:r>
      <w:r w:rsidRPr="00175E99">
        <w:rPr>
          <w:i/>
          <w:iCs/>
          <w:sz w:val="18"/>
        </w:rPr>
        <w:t>Current gene therapy</w:t>
      </w:r>
      <w:r w:rsidRPr="00175E99">
        <w:rPr>
          <w:sz w:val="18"/>
        </w:rPr>
        <w:t> 12.4 (2012): 262-274.</w:t>
      </w:r>
    </w:p>
    <w:p w:rsidR="00CB15DF" w:rsidRDefault="00E96C01" w:rsidP="00CB15DF">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6</w:t>
      </w:r>
      <w:r w:rsidR="00312B57">
        <w:rPr>
          <w:rFonts w:ascii="Calibri" w:eastAsia="Calibri" w:hAnsi="Calibri" w:cs="Calibri"/>
          <w:szCs w:val="22"/>
        </w:rPr>
        <w:t xml:space="preserve">. </w:t>
      </w:r>
      <w:r w:rsidR="00CB15DF" w:rsidRPr="00CB15DF">
        <w:rPr>
          <w:rFonts w:ascii="Calibri" w:eastAsia="Calibri" w:hAnsi="Calibri" w:cs="Calibri"/>
          <w:szCs w:val="22"/>
        </w:rPr>
        <w:t>Cretoiu, Dragos, et al. "Telocytes and their extracellular vesicles—evidence and hypotheses." </w:t>
      </w:r>
      <w:r w:rsidR="00CB15DF" w:rsidRPr="00CB15DF">
        <w:rPr>
          <w:rFonts w:ascii="Calibri" w:eastAsia="Calibri" w:hAnsi="Calibri" w:cs="Calibri"/>
          <w:i/>
          <w:iCs/>
          <w:szCs w:val="22"/>
        </w:rPr>
        <w:t>International journal of molecular sciences</w:t>
      </w:r>
      <w:r w:rsidR="00CB15DF" w:rsidRPr="00CB15DF">
        <w:rPr>
          <w:rFonts w:ascii="Calibri" w:eastAsia="Calibri" w:hAnsi="Calibri" w:cs="Calibri"/>
          <w:szCs w:val="22"/>
        </w:rPr>
        <w:t> 17.8 (2016): 1322.</w:t>
      </w:r>
      <w:r w:rsidR="00CB15DF">
        <w:rPr>
          <w:rFonts w:ascii="Calibri" w:eastAsia="Calibri" w:hAnsi="Calibri" w:cs="Calibri"/>
          <w:szCs w:val="22"/>
        </w:rPr>
        <w:t xml:space="preserve">3. </w:t>
      </w:r>
      <w:r w:rsidR="00CB15DF" w:rsidRPr="00CB15DF">
        <w:rPr>
          <w:rFonts w:ascii="Calibri" w:eastAsia="Calibri" w:hAnsi="Calibri" w:cs="Calibri"/>
          <w:szCs w:val="22"/>
        </w:rPr>
        <w:t>Hao, Jinsong, et al. "Gene delivery to cornea." </w:t>
      </w:r>
      <w:r w:rsidR="00CB15DF" w:rsidRPr="00CB15DF">
        <w:rPr>
          <w:rFonts w:ascii="Calibri" w:eastAsia="Calibri" w:hAnsi="Calibri" w:cs="Calibri"/>
          <w:i/>
          <w:iCs/>
          <w:szCs w:val="22"/>
        </w:rPr>
        <w:t>Brain research bulletin</w:t>
      </w:r>
      <w:r w:rsidR="00CB15DF" w:rsidRPr="00CB15DF">
        <w:rPr>
          <w:rFonts w:ascii="Calibri" w:eastAsia="Calibri" w:hAnsi="Calibri" w:cs="Calibri"/>
          <w:szCs w:val="22"/>
        </w:rPr>
        <w:t> 81.2 (2010): 256-261.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672BA1">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EA5EB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746A87">
      <w:pPr>
        <w:spacing w:before="92"/>
        <w:ind w:right="4234"/>
        <w:rPr>
          <w:rFonts w:ascii="Arial"/>
        </w:rPr>
      </w:pPr>
      <w:r>
        <w:rPr>
          <w:noProof/>
        </w:rPr>
        <w:t xml:space="preserve">              </w:t>
      </w:r>
      <w:r w:rsidR="00E32AE2" w:rsidRPr="00E32AE2">
        <w:rPr>
          <w:noProof/>
        </w:rPr>
        <w:t xml:space="preserve">  </w:t>
      </w:r>
      <w:r w:rsidR="00E32AE2" w:rsidRPr="00E32AE2">
        <w:rPr>
          <w:noProof/>
        </w:rPr>
        <w:drawing>
          <wp:inline distT="0" distB="0" distL="0" distR="0">
            <wp:extent cx="532737" cy="788066"/>
            <wp:effectExtent l="0" t="0" r="1270" b="0"/>
            <wp:docPr id="6" name="Picture 6" descr="E:\scan\photo_2017-08-16_11-5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can\photo_2017-08-16_11-55-2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0919" cy="814962"/>
                    </a:xfrm>
                    <a:prstGeom prst="rect">
                      <a:avLst/>
                    </a:prstGeom>
                    <a:noFill/>
                    <a:ln>
                      <a:noFill/>
                    </a:ln>
                  </pic:spPr>
                </pic:pic>
              </a:graphicData>
            </a:graphic>
          </wp:inline>
        </w:drawing>
      </w:r>
      <w:r w:rsidR="00E32AE2" w:rsidRPr="00E32AE2">
        <w:rPr>
          <w:noProof/>
        </w:rPr>
        <w:t xml:space="preserve"> </w:t>
      </w:r>
      <w:r w:rsidR="00A9710C">
        <w:rPr>
          <w:rFonts w:ascii="Arial"/>
          <w:color w:val="BF5A14"/>
        </w:rPr>
        <w:t>Biography</w:t>
      </w:r>
      <w:r w:rsidR="00404E5B">
        <w:rPr>
          <w:rFonts w:ascii="Arial"/>
          <w:color w:val="BF5A14"/>
        </w:rPr>
        <w:t xml:space="preserve"> </w:t>
      </w:r>
    </w:p>
    <w:p w:rsidR="00843618" w:rsidRDefault="00E7495D" w:rsidP="00A07369">
      <w:pPr>
        <w:spacing w:before="41" w:line="154" w:lineRule="exact"/>
        <w:ind w:left="213" w:right="231"/>
        <w:jc w:val="both"/>
        <w:rPr>
          <w:rFonts w:ascii="Arial"/>
          <w:sz w:val="14"/>
        </w:rPr>
      </w:pPr>
      <w:r>
        <w:rPr>
          <w:rFonts w:ascii="Arial"/>
          <w:sz w:val="14"/>
        </w:rPr>
        <w:t>Mahsa Yousefpour Marzbali</w:t>
      </w:r>
      <w:r w:rsidR="00A9710C">
        <w:rPr>
          <w:rFonts w:ascii="Arial"/>
          <w:sz w:val="14"/>
        </w:rPr>
        <w:t xml:space="preserve"> has her expertise in </w:t>
      </w:r>
      <w:r w:rsidR="00843618">
        <w:rPr>
          <w:rFonts w:ascii="Arial"/>
          <w:sz w:val="14"/>
        </w:rPr>
        <w:t>molecular genetics and nannocarriers in gene delivery.</w:t>
      </w:r>
      <w:r w:rsidR="00843618" w:rsidRPr="00843618">
        <w:rPr>
          <w:rFonts w:ascii="Arial"/>
          <w:sz w:val="14"/>
        </w:rPr>
        <w:t xml:space="preserve"> </w:t>
      </w:r>
      <w:r w:rsidR="00843618">
        <w:rPr>
          <w:rFonts w:ascii="Arial"/>
          <w:sz w:val="14"/>
        </w:rPr>
        <w:t xml:space="preserve">Her </w:t>
      </w:r>
      <w:r w:rsidR="00746A87">
        <w:rPr>
          <w:rFonts w:ascii="Arial"/>
          <w:sz w:val="14"/>
        </w:rPr>
        <w:t>previous</w:t>
      </w:r>
      <w:r w:rsidR="00843618">
        <w:rPr>
          <w:rFonts w:ascii="Arial"/>
          <w:sz w:val="14"/>
        </w:rPr>
        <w:t xml:space="preserve"> research was on introducing novel efficient nanocarriers for gene delivery to cancerous epithelial cells.</w:t>
      </w:r>
      <w:r w:rsidR="00843618">
        <w:rPr>
          <w:rFonts w:ascii="Arial"/>
          <w:sz w:val="14"/>
        </w:rPr>
        <w:t xml:space="preserve"> She continue</w:t>
      </w:r>
      <w:r w:rsidR="00A07369">
        <w:rPr>
          <w:rFonts w:ascii="Arial"/>
          <w:sz w:val="14"/>
        </w:rPr>
        <w:t>s</w:t>
      </w:r>
      <w:r w:rsidR="00843618">
        <w:rPr>
          <w:rFonts w:ascii="Arial"/>
          <w:sz w:val="14"/>
        </w:rPr>
        <w:t xml:space="preserve"> her work on </w:t>
      </w:r>
      <w:r>
        <w:rPr>
          <w:rFonts w:ascii="Arial"/>
          <w:sz w:val="14"/>
        </w:rPr>
        <w:t xml:space="preserve">translational </w:t>
      </w:r>
      <w:r w:rsidR="00843618">
        <w:rPr>
          <w:rFonts w:ascii="Arial"/>
          <w:sz w:val="14"/>
        </w:rPr>
        <w:t>ophthalmology research center</w:t>
      </w:r>
      <w:r>
        <w:rPr>
          <w:rFonts w:ascii="Arial"/>
          <w:sz w:val="14"/>
        </w:rPr>
        <w:t xml:space="preserve"> </w:t>
      </w:r>
      <w:r w:rsidR="00A9710C">
        <w:rPr>
          <w:rFonts w:ascii="Arial"/>
          <w:sz w:val="14"/>
        </w:rPr>
        <w:t xml:space="preserve">and passion in </w:t>
      </w:r>
      <w:r w:rsidR="005464B6">
        <w:rPr>
          <w:rFonts w:ascii="Arial"/>
          <w:sz w:val="14"/>
        </w:rPr>
        <w:t>using gene therapy and</w:t>
      </w:r>
      <w:r w:rsidR="00A9710C">
        <w:rPr>
          <w:rFonts w:ascii="Arial"/>
          <w:sz w:val="14"/>
        </w:rPr>
        <w:t xml:space="preserve"> </w:t>
      </w:r>
      <w:r w:rsidR="005464B6">
        <w:rPr>
          <w:rFonts w:ascii="Arial"/>
          <w:sz w:val="14"/>
        </w:rPr>
        <w:t>cell therapy in ocular regeneration</w:t>
      </w:r>
      <w:r w:rsidR="00A9710C">
        <w:rPr>
          <w:rFonts w:ascii="Arial"/>
          <w:sz w:val="14"/>
        </w:rPr>
        <w:t xml:space="preserve">. </w:t>
      </w:r>
      <w:r w:rsidR="00A07369">
        <w:rPr>
          <w:rFonts w:ascii="Arial"/>
          <w:sz w:val="14"/>
        </w:rPr>
        <w:t>Currently,</w:t>
      </w:r>
      <w:r w:rsidR="00843618">
        <w:rPr>
          <w:rFonts w:ascii="Arial"/>
          <w:sz w:val="14"/>
        </w:rPr>
        <w:t xml:space="preserve"> her </w:t>
      </w:r>
      <w:r w:rsidR="00746A87">
        <w:rPr>
          <w:rFonts w:ascii="Arial"/>
          <w:sz w:val="14"/>
        </w:rPr>
        <w:t>research</w:t>
      </w:r>
      <w:r w:rsidR="00843618">
        <w:rPr>
          <w:rFonts w:ascii="Arial"/>
          <w:sz w:val="14"/>
        </w:rPr>
        <w:t xml:space="preserve"> focused on corneal regeneration with applying nanomaterials and cell-assisting.</w:t>
      </w:r>
      <w:r w:rsidR="00746A87">
        <w:rPr>
          <w:rFonts w:ascii="Arial"/>
          <w:sz w:val="14"/>
        </w:rPr>
        <w:t xml:space="preserve"> </w:t>
      </w:r>
      <w:r w:rsidR="00843618">
        <w:rPr>
          <w:rFonts w:ascii="Arial"/>
          <w:sz w:val="14"/>
        </w:rPr>
        <w:t>This work present</w:t>
      </w:r>
      <w:r w:rsidR="00A07369">
        <w:rPr>
          <w:rFonts w:ascii="Arial"/>
          <w:sz w:val="14"/>
        </w:rPr>
        <w:t>s</w:t>
      </w:r>
      <w:r w:rsidR="00843618">
        <w:rPr>
          <w:rFonts w:ascii="Arial"/>
          <w:sz w:val="14"/>
        </w:rPr>
        <w:t xml:space="preserve"> the novel hypothesis about using </w:t>
      </w:r>
      <w:r w:rsidR="00746A87">
        <w:rPr>
          <w:rFonts w:ascii="Arial"/>
          <w:sz w:val="14"/>
        </w:rPr>
        <w:t xml:space="preserve">exosome </w:t>
      </w:r>
      <w:r w:rsidR="00843618">
        <w:rPr>
          <w:rFonts w:ascii="Arial"/>
          <w:sz w:val="14"/>
        </w:rPr>
        <w:t>innate nanocarries for corneal epithelium regeneration.</w:t>
      </w:r>
    </w:p>
    <w:p w:rsidR="00AE3E37" w:rsidRDefault="00A9710C" w:rsidP="00746A87">
      <w:pPr>
        <w:spacing w:before="62"/>
        <w:ind w:left="4217" w:right="4235"/>
        <w:jc w:val="center"/>
        <w:rPr>
          <w:rFonts w:ascii="Arial"/>
          <w:sz w:val="14"/>
        </w:rPr>
      </w:pPr>
      <w:r>
        <w:rPr>
          <w:rFonts w:ascii="Arial"/>
          <w:sz w:val="14"/>
        </w:rPr>
        <w:t xml:space="preserve">Email: </w:t>
      </w:r>
      <w:r w:rsidR="00746A87">
        <w:rPr>
          <w:rFonts w:ascii="Arial"/>
          <w:sz w:val="14"/>
        </w:rPr>
        <w:t>yousefpour.mh@gmail.com</w:t>
      </w:r>
      <w:hyperlink r:id="rId10" w:history="1"/>
    </w:p>
    <w:p w:rsidR="00AE3E37" w:rsidRDefault="00292ED9">
      <w:pPr>
        <w:pStyle w:val="BodyText"/>
        <w:spacing w:before="2"/>
        <w:rPr>
          <w:rFonts w:ascii="Arial"/>
          <w:sz w:val="19"/>
        </w:rPr>
      </w:pPr>
      <w:r>
        <w:rPr>
          <w:noProof/>
        </w:rPr>
        <mc:AlternateContent>
          <mc:Choice Requires="wps">
            <w:drawing>
              <wp:anchor distT="0" distB="0" distL="0" distR="0" simplePos="0" relativeHeight="25165619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83C81C"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E3E37" w:rsidP="006152AF">
      <w:pPr>
        <w:spacing w:before="39"/>
        <w:rPr>
          <w:rFonts w:ascii="Minion Pro"/>
          <w:b/>
          <w:sz w:val="20"/>
        </w:rPr>
      </w:pPr>
    </w:p>
    <w:p w:rsidR="00AE3E37" w:rsidRDefault="00AE3E37">
      <w:pPr>
        <w:rPr>
          <w:rFonts w:ascii="Minion Pro"/>
          <w:sz w:val="24"/>
        </w:rPr>
        <w:sectPr w:rsidR="00AE3E37" w:rsidSect="00672BA1">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672BA1" w:rsidRDefault="00672BA1">
      <w:pPr>
        <w:pStyle w:val="BodyText"/>
        <w:spacing w:before="3"/>
        <w:rPr>
          <w:rFonts w:ascii="Minion Pro"/>
          <w:sz w:val="26"/>
        </w:rPr>
      </w:pPr>
    </w:p>
    <w:sectPr w:rsidR="00672BA1" w:rsidSect="00672BA1">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6101" w:rsidRDefault="00E46101">
      <w:r>
        <w:separator/>
      </w:r>
    </w:p>
  </w:endnote>
  <w:endnote w:type="continuationSeparator" w:id="0">
    <w:p w:rsidR="00E46101" w:rsidRDefault="00E46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848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667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6101" w:rsidRDefault="00E46101">
      <w:r>
        <w:separator/>
      </w:r>
    </w:p>
  </w:footnote>
  <w:footnote w:type="continuationSeparator" w:id="0">
    <w:p w:rsidR="00E46101" w:rsidRDefault="00E461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4390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312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B53154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2400"/>
    <w:rsid w:val="000E2911"/>
    <w:rsid w:val="001263DF"/>
    <w:rsid w:val="00175E99"/>
    <w:rsid w:val="002455EC"/>
    <w:rsid w:val="00292ED9"/>
    <w:rsid w:val="00312B57"/>
    <w:rsid w:val="00334FA4"/>
    <w:rsid w:val="00350885"/>
    <w:rsid w:val="003B03ED"/>
    <w:rsid w:val="00404E5B"/>
    <w:rsid w:val="00414F7B"/>
    <w:rsid w:val="004355DC"/>
    <w:rsid w:val="004749B4"/>
    <w:rsid w:val="00494130"/>
    <w:rsid w:val="004F3523"/>
    <w:rsid w:val="005464B6"/>
    <w:rsid w:val="005973B9"/>
    <w:rsid w:val="005B3A56"/>
    <w:rsid w:val="006060CE"/>
    <w:rsid w:val="00607EC8"/>
    <w:rsid w:val="006152AF"/>
    <w:rsid w:val="0063497F"/>
    <w:rsid w:val="00672BA1"/>
    <w:rsid w:val="00746A87"/>
    <w:rsid w:val="007B03E2"/>
    <w:rsid w:val="00843618"/>
    <w:rsid w:val="00873DF0"/>
    <w:rsid w:val="008756E6"/>
    <w:rsid w:val="008A08B6"/>
    <w:rsid w:val="009B2D44"/>
    <w:rsid w:val="00A07369"/>
    <w:rsid w:val="00A07E82"/>
    <w:rsid w:val="00A9710C"/>
    <w:rsid w:val="00AE3E37"/>
    <w:rsid w:val="00B21A57"/>
    <w:rsid w:val="00BA13B7"/>
    <w:rsid w:val="00C33602"/>
    <w:rsid w:val="00CB15DF"/>
    <w:rsid w:val="00CD6F55"/>
    <w:rsid w:val="00DE3104"/>
    <w:rsid w:val="00E26B10"/>
    <w:rsid w:val="00E32AE2"/>
    <w:rsid w:val="00E46101"/>
    <w:rsid w:val="00E7495D"/>
    <w:rsid w:val="00E96C01"/>
    <w:rsid w:val="00F4589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6B7FBD-B1E2-4A6E-817E-B480493C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672BA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2006924">
      <w:bodyDiv w:val="1"/>
      <w:marLeft w:val="0"/>
      <w:marRight w:val="0"/>
      <w:marTop w:val="0"/>
      <w:marBottom w:val="0"/>
      <w:divBdr>
        <w:top w:val="none" w:sz="0" w:space="0" w:color="auto"/>
        <w:left w:val="none" w:sz="0" w:space="0" w:color="auto"/>
        <w:bottom w:val="none" w:sz="0" w:space="0" w:color="auto"/>
        <w:right w:val="none" w:sz="0" w:space="0" w:color="auto"/>
      </w:divBdr>
    </w:div>
    <w:div w:id="1037199026">
      <w:bodyDiv w:val="1"/>
      <w:marLeft w:val="0"/>
      <w:marRight w:val="0"/>
      <w:marTop w:val="0"/>
      <w:marBottom w:val="0"/>
      <w:divBdr>
        <w:top w:val="none" w:sz="0" w:space="0" w:color="auto"/>
        <w:left w:val="none" w:sz="0" w:space="0" w:color="auto"/>
        <w:bottom w:val="none" w:sz="0" w:space="0" w:color="auto"/>
        <w:right w:val="none" w:sz="0" w:space="0" w:color="auto"/>
      </w:divBdr>
    </w:div>
    <w:div w:id="132261424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2</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illia</cp:lastModifiedBy>
  <cp:revision>14</cp:revision>
  <dcterms:created xsi:type="dcterms:W3CDTF">2016-12-06T11:19:00Z</dcterms:created>
  <dcterms:modified xsi:type="dcterms:W3CDTF">2017-08-16T09:58:00Z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