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B9D3F0" w14:textId="11517297" w:rsidR="00AE3E37" w:rsidRDefault="00D90B26" w:rsidP="00494130">
      <w:pPr>
        <w:pStyle w:val="1"/>
        <w:spacing w:before="170"/>
        <w:ind w:left="0"/>
      </w:pPr>
      <w:r>
        <w:rPr>
          <w:color w:val="337AB7"/>
        </w:rPr>
        <w:t xml:space="preserve">Effects of extracts of bioactive glasses on the </w:t>
      </w:r>
      <w:r w:rsidRPr="00D90B26">
        <w:rPr>
          <w:color w:val="337AB7"/>
        </w:rPr>
        <w:t>viability, migration, and ALP activity</w:t>
      </w:r>
      <w:r>
        <w:rPr>
          <w:color w:val="337AB7"/>
        </w:rPr>
        <w:t xml:space="preserve"> of osteoblast-like cells.</w:t>
      </w:r>
    </w:p>
    <w:p w14:paraId="3AA154B1" w14:textId="77777777" w:rsidR="00076D07" w:rsidRDefault="00076D07" w:rsidP="00076D07">
      <w:pPr>
        <w:rPr>
          <w:rFonts w:ascii="Arial"/>
          <w:sz w:val="18"/>
          <w:szCs w:val="18"/>
        </w:rPr>
      </w:pPr>
    </w:p>
    <w:p w14:paraId="71939BA1" w14:textId="5926A553" w:rsidR="00AE3E37" w:rsidRPr="00076D07" w:rsidRDefault="00D90B26" w:rsidP="00076D07">
      <w:pPr>
        <w:rPr>
          <w:rFonts w:ascii="Arial"/>
          <w:sz w:val="18"/>
          <w:szCs w:val="18"/>
        </w:rPr>
      </w:pPr>
      <w:r w:rsidRPr="00D90B26">
        <w:rPr>
          <w:rFonts w:ascii="Arial"/>
          <w:sz w:val="18"/>
          <w:szCs w:val="18"/>
        </w:rPr>
        <w:t>Yu Li. Department of Hand, Plastic and Reconstructive Surgery, University of Heidelberg, BG Trauma Center Ludwigshafen, D</w:t>
      </w:r>
      <w:r w:rsidRPr="00D90B26">
        <w:rPr>
          <w:rFonts w:ascii="MS Gothic" w:eastAsia="MS Gothic" w:hAnsi="MS Gothic" w:cs="MS Gothic" w:hint="eastAsia"/>
          <w:sz w:val="18"/>
          <w:szCs w:val="18"/>
        </w:rPr>
        <w:t>‑</w:t>
      </w:r>
      <w:r w:rsidRPr="00D90B26">
        <w:rPr>
          <w:rFonts w:ascii="Arial"/>
          <w:sz w:val="18"/>
          <w:szCs w:val="18"/>
        </w:rPr>
        <w:t>67071 Ludwigshafen, Germany</w:t>
      </w:r>
    </w:p>
    <w:p w14:paraId="46C655D7" w14:textId="77777777" w:rsidR="00AE3E37" w:rsidRDefault="00AE3E37">
      <w:pPr>
        <w:pStyle w:val="a3"/>
        <w:spacing w:before="3"/>
        <w:rPr>
          <w:rFonts w:ascii="Arial"/>
          <w:sz w:val="21"/>
        </w:rPr>
      </w:pPr>
    </w:p>
    <w:p w14:paraId="41D7F7B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547F750" w14:textId="77777777" w:rsidR="00AE3E37" w:rsidRDefault="00A9710C">
      <w:pPr>
        <w:pStyle w:val="3"/>
        <w:spacing w:before="147"/>
        <w:jc w:val="both"/>
      </w:pPr>
      <w:r>
        <w:rPr>
          <w:color w:val="BF5A14"/>
        </w:rPr>
        <w:t>Abstract</w:t>
      </w:r>
      <w:r w:rsidR="00404E5B">
        <w:rPr>
          <w:color w:val="BF5A14"/>
        </w:rPr>
        <w:t xml:space="preserve"> (300 word limit)</w:t>
      </w:r>
    </w:p>
    <w:p w14:paraId="3DBC174E" w14:textId="261DD21F" w:rsidR="00AE3E37" w:rsidRDefault="00DF1FEF" w:rsidP="00DF1FEF">
      <w:pPr>
        <w:pStyle w:val="a3"/>
        <w:spacing w:before="90" w:line="280" w:lineRule="auto"/>
        <w:ind w:left="100"/>
        <w:jc w:val="both"/>
      </w:pPr>
      <w:r w:rsidRPr="00DF1FEF">
        <w:t xml:space="preserve">Bone defects caused by infection, tumor, trauma, surgery, and congenital malformation are common, but the repair of large bone defects is still a challenge in orthopedic and craniomaxillofacial surgery. The current gold standard for bone repair, autologous bone grafting, is limited by limited bone supply, pain at the donor site, higher risk of infection, and longer operation time. Thus, various bone graft substitutes were developed in the past decades. Among them, bioactive glasses have drawn much attention because of their good biocompatibility, high </w:t>
      </w:r>
      <w:proofErr w:type="spellStart"/>
      <w:r w:rsidRPr="00DF1FEF">
        <w:t>osteoconductivity</w:t>
      </w:r>
      <w:proofErr w:type="spellEnd"/>
      <w:r w:rsidRPr="00DF1FEF">
        <w:t xml:space="preserve">, and excellent osseointegration ability. To elucidate the mechanism of their beneficial effects on bone regeneration, we tested the extracts of bioactive glasses on the viability, migration, and ALP activity in </w:t>
      </w:r>
      <w:proofErr w:type="spellStart"/>
      <w:r w:rsidRPr="00DF1FEF">
        <w:t>hFOB</w:t>
      </w:r>
      <w:proofErr w:type="spellEnd"/>
      <w:r w:rsidRPr="00DF1FEF">
        <w:t xml:space="preserve"> 1.19 cells. In general, extracts of bioactive glasses at 0.05 g/ml had no effects on the viability, migration, and ALP activity; Extracts of bioactive glasses at 0.1 g/ml slightly inhibited the cell proliferation but increased the ALP activity; Extracts of bioactive glasses at 0.2 g/ml decreased the viability, migration, and ALP activity of cells. Our results indicated that the dissolution products of bioactive glasses contained both beneficial and harmful components for the osteogenic differentiation of </w:t>
      </w:r>
      <w:proofErr w:type="spellStart"/>
      <w:r w:rsidRPr="00DF1FEF">
        <w:t>hFOB</w:t>
      </w:r>
      <w:proofErr w:type="spellEnd"/>
      <w:r w:rsidRPr="00DF1FEF">
        <w:t xml:space="preserve"> 1.19 cells, and the dose of bioactive glasses must be carefully considered when they are used in the clinic.</w:t>
      </w:r>
      <w:r w:rsidR="00A9710C">
        <w:br w:type="column"/>
      </w:r>
      <w:r w:rsidR="00A9710C">
        <w:rPr>
          <w:color w:val="BF5A14"/>
        </w:rPr>
        <w:t>Image</w:t>
      </w:r>
    </w:p>
    <w:p w14:paraId="73D6DBE2" w14:textId="7EE3B6D6" w:rsidR="00AE3E37" w:rsidRDefault="00076D07">
      <w:pPr>
        <w:pStyle w:val="a3"/>
        <w:spacing w:before="2"/>
        <w:rPr>
          <w:rFonts w:ascii="Arial"/>
          <w:b/>
          <w:sz w:val="16"/>
        </w:rPr>
      </w:pPr>
      <w:r>
        <w:rPr>
          <w:noProof/>
          <w:lang w:val="en-IN" w:eastAsia="en-IN"/>
        </w:rPr>
        <w:drawing>
          <wp:inline distT="0" distB="0" distL="0" distR="0" wp14:anchorId="28B1DE95" wp14:editId="00EA1FEA">
            <wp:extent cx="3157855" cy="191389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7855" cy="1913890"/>
                    </a:xfrm>
                    <a:prstGeom prst="rect">
                      <a:avLst/>
                    </a:prstGeom>
                    <a:noFill/>
                    <a:ln>
                      <a:noFill/>
                    </a:ln>
                  </pic:spPr>
                </pic:pic>
              </a:graphicData>
            </a:graphic>
          </wp:inline>
        </w:drawing>
      </w:r>
    </w:p>
    <w:p w14:paraId="14BE510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390C413" w14:textId="20039782" w:rsidR="005973B9" w:rsidRDefault="00E86D5B" w:rsidP="005973B9">
      <w:pPr>
        <w:pStyle w:val="a5"/>
        <w:numPr>
          <w:ilvl w:val="0"/>
          <w:numId w:val="3"/>
        </w:numPr>
        <w:tabs>
          <w:tab w:val="left" w:pos="384"/>
        </w:tabs>
        <w:spacing w:line="216" w:lineRule="exact"/>
        <w:ind w:right="137" w:hanging="283"/>
        <w:rPr>
          <w:sz w:val="18"/>
        </w:rPr>
      </w:pPr>
      <w:r w:rsidRPr="00E86D5B">
        <w:rPr>
          <w:sz w:val="18"/>
        </w:rPr>
        <w:t xml:space="preserve">Rui Li, Yu Li, and </w:t>
      </w:r>
      <w:proofErr w:type="spellStart"/>
      <w:r w:rsidRPr="00E86D5B">
        <w:rPr>
          <w:sz w:val="18"/>
        </w:rPr>
        <w:t>Xiaoyan</w:t>
      </w:r>
      <w:proofErr w:type="spellEnd"/>
      <w:r w:rsidR="003B3C61">
        <w:rPr>
          <w:sz w:val="18"/>
        </w:rPr>
        <w:t xml:space="preserve"> </w:t>
      </w:r>
      <w:r w:rsidRPr="00E86D5B">
        <w:rPr>
          <w:sz w:val="18"/>
        </w:rPr>
        <w:t xml:space="preserve">Dong. Preconditioning mesenchymal stromal cells with flagellin enhances the anti-inflammatory ability of their </w:t>
      </w:r>
      <w:proofErr w:type="spellStart"/>
      <w:r w:rsidRPr="00E86D5B">
        <w:rPr>
          <w:sz w:val="18"/>
        </w:rPr>
        <w:t>secretome</w:t>
      </w:r>
      <w:proofErr w:type="spellEnd"/>
      <w:r w:rsidR="003B3C61">
        <w:rPr>
          <w:sz w:val="18"/>
        </w:rPr>
        <w:t xml:space="preserve"> </w:t>
      </w:r>
      <w:r w:rsidRPr="00E86D5B">
        <w:rPr>
          <w:sz w:val="18"/>
        </w:rPr>
        <w:t>against lipopolysaccharide-induced acute lung injury. Molecular Medicine Reports.2020.10</w:t>
      </w:r>
      <w:r w:rsidR="003B3C61">
        <w:rPr>
          <w:sz w:val="18"/>
        </w:rPr>
        <w:t xml:space="preserve">. </w:t>
      </w:r>
    </w:p>
    <w:p w14:paraId="2F0BA2AA" w14:textId="4B32DBD8" w:rsidR="003B3C61" w:rsidRPr="003B3C61" w:rsidRDefault="003B3C61" w:rsidP="003B3C61">
      <w:pPr>
        <w:pStyle w:val="a5"/>
        <w:numPr>
          <w:ilvl w:val="0"/>
          <w:numId w:val="3"/>
        </w:numPr>
        <w:tabs>
          <w:tab w:val="left" w:pos="384"/>
        </w:tabs>
        <w:spacing w:before="92" w:line="218" w:lineRule="exact"/>
        <w:ind w:hanging="283"/>
      </w:pPr>
      <w:proofErr w:type="spellStart"/>
      <w:r w:rsidRPr="003B3C61">
        <w:rPr>
          <w:sz w:val="18"/>
        </w:rPr>
        <w:t>Dingyu</w:t>
      </w:r>
      <w:proofErr w:type="spellEnd"/>
      <w:r>
        <w:rPr>
          <w:sz w:val="18"/>
        </w:rPr>
        <w:t xml:space="preserve"> </w:t>
      </w:r>
      <w:r w:rsidRPr="003B3C61">
        <w:rPr>
          <w:sz w:val="18"/>
        </w:rPr>
        <w:t>Wu,</w:t>
      </w:r>
      <w:r>
        <w:rPr>
          <w:sz w:val="18"/>
        </w:rPr>
        <w:t xml:space="preserve"> </w:t>
      </w:r>
      <w:r w:rsidRPr="003B3C61">
        <w:rPr>
          <w:sz w:val="18"/>
        </w:rPr>
        <w:t>Yu</w:t>
      </w:r>
      <w:r>
        <w:rPr>
          <w:sz w:val="18"/>
        </w:rPr>
        <w:t xml:space="preserve"> </w:t>
      </w:r>
      <w:r w:rsidRPr="003B3C61">
        <w:rPr>
          <w:sz w:val="18"/>
        </w:rPr>
        <w:t>Li,</w:t>
      </w:r>
      <w:r>
        <w:rPr>
          <w:sz w:val="18"/>
        </w:rPr>
        <w:t xml:space="preserve"> and </w:t>
      </w:r>
      <w:proofErr w:type="spellStart"/>
      <w:r w:rsidRPr="003B3C61">
        <w:rPr>
          <w:sz w:val="18"/>
        </w:rPr>
        <w:t>Zhiyong</w:t>
      </w:r>
      <w:proofErr w:type="spellEnd"/>
      <w:r>
        <w:rPr>
          <w:sz w:val="18"/>
        </w:rPr>
        <w:t xml:space="preserve"> </w:t>
      </w:r>
      <w:r w:rsidRPr="003B3C61">
        <w:rPr>
          <w:sz w:val="18"/>
        </w:rPr>
        <w:t>Zhang. Development of a micro-tissue-mediated injectable bone tissue engineering strategy for large segmental bone defect treatment.</w:t>
      </w:r>
      <w:r>
        <w:rPr>
          <w:sz w:val="18"/>
        </w:rPr>
        <w:t xml:space="preserve"> </w:t>
      </w:r>
      <w:r w:rsidRPr="003B3C61">
        <w:rPr>
          <w:sz w:val="18"/>
        </w:rPr>
        <w:t>Stem Cell Res Ther.2018.11</w:t>
      </w:r>
      <w:r>
        <w:rPr>
          <w:sz w:val="18"/>
        </w:rPr>
        <w:t>.</w:t>
      </w:r>
    </w:p>
    <w:p w14:paraId="625E0F40" w14:textId="3C2D0AAD" w:rsidR="00AE3E37" w:rsidRPr="003B3C61" w:rsidRDefault="003B3C61" w:rsidP="003B3C61">
      <w:pPr>
        <w:pStyle w:val="a5"/>
        <w:numPr>
          <w:ilvl w:val="0"/>
          <w:numId w:val="3"/>
        </w:numPr>
        <w:tabs>
          <w:tab w:val="left" w:pos="384"/>
        </w:tabs>
        <w:spacing w:before="92" w:line="218" w:lineRule="exact"/>
        <w:ind w:hanging="283"/>
      </w:pPr>
      <w:r w:rsidRPr="003B3C61">
        <w:rPr>
          <w:sz w:val="18"/>
        </w:rPr>
        <w:t>Yu</w:t>
      </w:r>
      <w:r>
        <w:rPr>
          <w:sz w:val="18"/>
        </w:rPr>
        <w:t xml:space="preserve"> </w:t>
      </w:r>
      <w:r w:rsidRPr="003B3C61">
        <w:rPr>
          <w:sz w:val="18"/>
        </w:rPr>
        <w:t>Li,</w:t>
      </w:r>
      <w:r w:rsidRPr="003B3C61">
        <w:rPr>
          <w:sz w:val="18"/>
        </w:rPr>
        <w:t xml:space="preserve"> </w:t>
      </w:r>
      <w:r w:rsidRPr="003B3C61">
        <w:rPr>
          <w:sz w:val="18"/>
        </w:rPr>
        <w:t>and</w:t>
      </w:r>
      <w:r>
        <w:rPr>
          <w:sz w:val="18"/>
        </w:rPr>
        <w:t xml:space="preserve"> </w:t>
      </w:r>
      <w:proofErr w:type="spellStart"/>
      <w:r w:rsidRPr="003B3C61">
        <w:rPr>
          <w:sz w:val="18"/>
        </w:rPr>
        <w:t>Zhiyong</w:t>
      </w:r>
      <w:proofErr w:type="spellEnd"/>
      <w:r>
        <w:rPr>
          <w:sz w:val="18"/>
        </w:rPr>
        <w:t xml:space="preserve"> </w:t>
      </w:r>
      <w:r w:rsidRPr="003B3C61">
        <w:rPr>
          <w:sz w:val="18"/>
        </w:rPr>
        <w:t>Zhang.</w:t>
      </w:r>
      <w:r>
        <w:rPr>
          <w:sz w:val="18"/>
        </w:rPr>
        <w:t xml:space="preserve"> </w:t>
      </w:r>
      <w:r w:rsidRPr="003B3C61">
        <w:rPr>
          <w:sz w:val="18"/>
        </w:rPr>
        <w:t>Sustained</w:t>
      </w:r>
      <w:r>
        <w:rPr>
          <w:sz w:val="18"/>
        </w:rPr>
        <w:t xml:space="preserve"> </w:t>
      </w:r>
      <w:r w:rsidRPr="003B3C61">
        <w:rPr>
          <w:sz w:val="18"/>
        </w:rPr>
        <w:t>curcumin</w:t>
      </w:r>
      <w:r>
        <w:rPr>
          <w:sz w:val="18"/>
        </w:rPr>
        <w:t xml:space="preserve"> </w:t>
      </w:r>
      <w:r w:rsidRPr="003B3C61">
        <w:rPr>
          <w:sz w:val="18"/>
        </w:rPr>
        <w:t>release</w:t>
      </w:r>
      <w:r>
        <w:rPr>
          <w:sz w:val="18"/>
        </w:rPr>
        <w:t xml:space="preserve"> </w:t>
      </w:r>
      <w:r w:rsidRPr="003B3C61">
        <w:rPr>
          <w:sz w:val="18"/>
        </w:rPr>
        <w:t>from</w:t>
      </w:r>
      <w:r>
        <w:rPr>
          <w:sz w:val="18"/>
        </w:rPr>
        <w:t xml:space="preserve"> </w:t>
      </w:r>
      <w:r w:rsidRPr="003B3C61">
        <w:rPr>
          <w:sz w:val="18"/>
        </w:rPr>
        <w:t>PLGA</w:t>
      </w:r>
      <w:r>
        <w:rPr>
          <w:sz w:val="18"/>
        </w:rPr>
        <w:t xml:space="preserve"> </w:t>
      </w:r>
      <w:r w:rsidRPr="003B3C61">
        <w:rPr>
          <w:sz w:val="18"/>
        </w:rPr>
        <w:t>microspheres improves bone formation under diabetic conditions by inhibiting the reactive oxygen species production.</w:t>
      </w:r>
      <w:r>
        <w:rPr>
          <w:sz w:val="18"/>
        </w:rPr>
        <w:t xml:space="preserve"> </w:t>
      </w:r>
      <w:r w:rsidRPr="003B3C61">
        <w:rPr>
          <w:sz w:val="18"/>
        </w:rPr>
        <w:t>Drug</w:t>
      </w:r>
      <w:r>
        <w:rPr>
          <w:sz w:val="18"/>
        </w:rPr>
        <w:t xml:space="preserve"> </w:t>
      </w:r>
      <w:proofErr w:type="spellStart"/>
      <w:proofErr w:type="gramStart"/>
      <w:r w:rsidRPr="003B3C61">
        <w:rPr>
          <w:sz w:val="18"/>
        </w:rPr>
        <w:t>design,development</w:t>
      </w:r>
      <w:proofErr w:type="spellEnd"/>
      <w:proofErr w:type="gramEnd"/>
      <w:r>
        <w:rPr>
          <w:sz w:val="18"/>
        </w:rPr>
        <w:t xml:space="preserve"> </w:t>
      </w:r>
      <w:r w:rsidRPr="003B3C61">
        <w:rPr>
          <w:sz w:val="18"/>
        </w:rPr>
        <w:t>and</w:t>
      </w:r>
      <w:r>
        <w:rPr>
          <w:sz w:val="18"/>
        </w:rPr>
        <w:t xml:space="preserve"> </w:t>
      </w:r>
      <w:r w:rsidRPr="003B3C61">
        <w:rPr>
          <w:sz w:val="18"/>
        </w:rPr>
        <w:t>therapy.2018.5</w:t>
      </w:r>
    </w:p>
    <w:p w14:paraId="26FF6E62" w14:textId="5B4FCA78" w:rsidR="003B3C61" w:rsidRDefault="003B3C61" w:rsidP="003B3C61">
      <w:pPr>
        <w:pStyle w:val="a5"/>
        <w:numPr>
          <w:ilvl w:val="0"/>
          <w:numId w:val="3"/>
        </w:numPr>
        <w:tabs>
          <w:tab w:val="left" w:pos="384"/>
        </w:tabs>
        <w:spacing w:before="92" w:line="218" w:lineRule="exact"/>
        <w:ind w:hanging="283"/>
        <w:rPr>
          <w:sz w:val="18"/>
        </w:rPr>
      </w:pPr>
      <w:r w:rsidRPr="003B3C61">
        <w:rPr>
          <w:sz w:val="18"/>
        </w:rPr>
        <w:t>Y</w:t>
      </w:r>
      <w:r w:rsidRPr="003B3C61">
        <w:rPr>
          <w:sz w:val="18"/>
        </w:rPr>
        <w:t xml:space="preserve">u Li, Yang Gao, and </w:t>
      </w:r>
      <w:proofErr w:type="spellStart"/>
      <w:r w:rsidRPr="003B3C61">
        <w:rPr>
          <w:sz w:val="18"/>
        </w:rPr>
        <w:t>Jinbing</w:t>
      </w:r>
      <w:proofErr w:type="spellEnd"/>
      <w:r w:rsidRPr="003B3C61">
        <w:rPr>
          <w:sz w:val="18"/>
        </w:rPr>
        <w:t xml:space="preserve"> Wang. Human adipose-derived mesenchymal stem cells-conditioned</w:t>
      </w:r>
      <w:r>
        <w:rPr>
          <w:sz w:val="18"/>
        </w:rPr>
        <w:t xml:space="preserve"> </w:t>
      </w:r>
      <w:r w:rsidRPr="003B3C61">
        <w:rPr>
          <w:sz w:val="18"/>
        </w:rPr>
        <w:t>media suppresses inflammatory bone loss in a lipopolysaccharide murine mode. Experimental and Therapeutic Medicine. 2018.2</w:t>
      </w:r>
    </w:p>
    <w:p w14:paraId="1F173556" w14:textId="223B4446" w:rsidR="003B3C61" w:rsidRPr="003B3C61" w:rsidRDefault="003B3C61" w:rsidP="003B3C61">
      <w:pPr>
        <w:pStyle w:val="a5"/>
        <w:numPr>
          <w:ilvl w:val="0"/>
          <w:numId w:val="3"/>
        </w:numPr>
        <w:tabs>
          <w:tab w:val="left" w:pos="384"/>
        </w:tabs>
        <w:spacing w:before="92" w:line="218" w:lineRule="exact"/>
        <w:ind w:hanging="283"/>
        <w:rPr>
          <w:sz w:val="18"/>
        </w:rPr>
      </w:pPr>
      <w:r w:rsidRPr="003B3C61">
        <w:rPr>
          <w:sz w:val="18"/>
        </w:rPr>
        <w:t xml:space="preserve">Yu Li, </w:t>
      </w:r>
      <w:proofErr w:type="spellStart"/>
      <w:r w:rsidRPr="003B3C61">
        <w:rPr>
          <w:sz w:val="18"/>
        </w:rPr>
        <w:t>Zhanzhao</w:t>
      </w:r>
      <w:proofErr w:type="spellEnd"/>
      <w:r w:rsidRPr="003B3C61">
        <w:rPr>
          <w:sz w:val="18"/>
        </w:rPr>
        <w:t xml:space="preserve"> Zhang, and </w:t>
      </w:r>
      <w:proofErr w:type="spellStart"/>
      <w:r w:rsidRPr="003B3C61">
        <w:rPr>
          <w:sz w:val="18"/>
        </w:rPr>
        <w:t>Zhiyong</w:t>
      </w:r>
      <w:proofErr w:type="spellEnd"/>
      <w:r w:rsidRPr="003B3C61">
        <w:rPr>
          <w:sz w:val="18"/>
        </w:rPr>
        <w:t xml:space="preserve"> Zhang. Porous chitosan/nano-hydroxyapatite composite scaffolds incorporating simvastatin-loaded PLGA microspheres for bone repair. Cell Tissue Organs.</w:t>
      </w:r>
    </w:p>
    <w:p w14:paraId="4D7C024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3B3C61">
        <w:rPr>
          <w:rFonts w:ascii="Calibri" w:eastAsia="Calibri" w:hAnsi="Calibri" w:cs="Calibri"/>
          <w:sz w:val="18"/>
        </w:rPr>
        <w:t xml:space="preserve">   </w:t>
      </w:r>
    </w:p>
    <w:p w14:paraId="297083E9" w14:textId="77777777" w:rsidR="00AE3E37" w:rsidRDefault="00AE3E37">
      <w:pPr>
        <w:pStyle w:val="a3"/>
        <w:rPr>
          <w:rFonts w:ascii="Calibri"/>
          <w:sz w:val="20"/>
        </w:rPr>
      </w:pPr>
    </w:p>
    <w:p w14:paraId="5C814FDE"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5C85E36B" wp14:editId="17725CA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C74AA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7E1E9C3" w14:textId="7790203A" w:rsidR="00AE3E37" w:rsidRDefault="008756E6" w:rsidP="00404E5B">
      <w:pPr>
        <w:spacing w:before="92"/>
        <w:ind w:right="4234"/>
        <w:rPr>
          <w:rFonts w:ascii="Arial"/>
        </w:rPr>
      </w:pPr>
      <w:r>
        <w:rPr>
          <w:noProof/>
        </w:rPr>
        <w:t xml:space="preserve">              </w:t>
      </w:r>
      <w:r w:rsidR="00D90B26" w:rsidRPr="00D90B26">
        <w:rPr>
          <w:noProof/>
          <w:lang w:val="en-GB"/>
        </w:rPr>
        <w:drawing>
          <wp:inline distT="0" distB="0" distL="0" distR="0" wp14:anchorId="6F314A27" wp14:editId="50F6A863">
            <wp:extent cx="622800" cy="62280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800" cy="6228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E516A5C" w14:textId="43895228" w:rsidR="00D90B26" w:rsidRDefault="00D90B26" w:rsidP="003B3C61">
      <w:pPr>
        <w:spacing w:before="62"/>
        <w:ind w:leftChars="400" w:left="880" w:right="4235"/>
        <w:rPr>
          <w:rFonts w:ascii="Arial"/>
          <w:sz w:val="14"/>
        </w:rPr>
      </w:pPr>
      <w:r w:rsidRPr="00D90B26">
        <w:rPr>
          <w:rFonts w:ascii="Arial"/>
          <w:sz w:val="14"/>
        </w:rPr>
        <w:t xml:space="preserve">Yu Li got his </w:t>
      </w:r>
      <w:proofErr w:type="gramStart"/>
      <w:r w:rsidRPr="00D90B26">
        <w:rPr>
          <w:rFonts w:ascii="Arial"/>
          <w:sz w:val="14"/>
        </w:rPr>
        <w:t>master</w:t>
      </w:r>
      <w:proofErr w:type="gramEnd"/>
      <w:r w:rsidRPr="00D90B26">
        <w:rPr>
          <w:rFonts w:ascii="Arial"/>
          <w:sz w:val="14"/>
        </w:rPr>
        <w:t xml:space="preserve"> degree from Shanghai </w:t>
      </w:r>
      <w:proofErr w:type="spellStart"/>
      <w:r w:rsidRPr="00D90B26">
        <w:rPr>
          <w:rFonts w:ascii="Arial"/>
          <w:sz w:val="14"/>
        </w:rPr>
        <w:t>Jiaotong</w:t>
      </w:r>
      <w:proofErr w:type="spellEnd"/>
      <w:r w:rsidRPr="00D90B26">
        <w:rPr>
          <w:rFonts w:ascii="Arial"/>
          <w:sz w:val="14"/>
        </w:rPr>
        <w:t xml:space="preserve"> University in 2017. He is a </w:t>
      </w:r>
      <w:r w:rsidR="003B3C61" w:rsidRPr="00D90B26">
        <w:rPr>
          <w:rFonts w:ascii="Arial"/>
          <w:sz w:val="14"/>
        </w:rPr>
        <w:t>doctoral</w:t>
      </w:r>
      <w:r w:rsidR="003B3C61">
        <w:rPr>
          <w:rFonts w:ascii="Arial"/>
          <w:sz w:val="14"/>
        </w:rPr>
        <w:t xml:space="preserve"> </w:t>
      </w:r>
      <w:r w:rsidRPr="00D90B26">
        <w:rPr>
          <w:rFonts w:ascii="Arial"/>
          <w:sz w:val="14"/>
        </w:rPr>
        <w:t>student at</w:t>
      </w:r>
      <w:r>
        <w:rPr>
          <w:rFonts w:ascii="Arial"/>
          <w:sz w:val="14"/>
        </w:rPr>
        <w:t xml:space="preserve"> </w:t>
      </w:r>
      <w:r w:rsidRPr="00D90B26">
        <w:rPr>
          <w:rFonts w:ascii="Arial"/>
          <w:sz w:val="14"/>
        </w:rPr>
        <w:t>Heidelberg University now. He has published 5 papers as first author and 3 papers as co-author in reputed journals.</w:t>
      </w:r>
    </w:p>
    <w:p w14:paraId="4DCA0086" w14:textId="77777777" w:rsidR="00D90B26" w:rsidRDefault="00D90B26" w:rsidP="00D90B26">
      <w:pPr>
        <w:spacing w:before="62"/>
        <w:ind w:leftChars="400" w:left="880" w:right="4235"/>
        <w:rPr>
          <w:rFonts w:ascii="Arial"/>
          <w:sz w:val="14"/>
        </w:rPr>
      </w:pPr>
    </w:p>
    <w:p w14:paraId="54AA344D" w14:textId="1F7BAA3D" w:rsidR="00AE3E37" w:rsidRPr="00D90B26" w:rsidRDefault="00A9710C" w:rsidP="00D90B26">
      <w:pPr>
        <w:spacing w:before="62"/>
        <w:ind w:leftChars="400" w:left="880" w:right="4235" w:firstLineChars="1900" w:firstLine="2660"/>
        <w:rPr>
          <w:rFonts w:ascii="Arial"/>
          <w:sz w:val="14"/>
        </w:rPr>
      </w:pPr>
      <w:r>
        <w:rPr>
          <w:rFonts w:ascii="Arial"/>
          <w:sz w:val="14"/>
        </w:rPr>
        <w:t xml:space="preserve">Email: </w:t>
      </w:r>
      <w:hyperlink r:id="rId11" w:history="1">
        <w:r w:rsidR="00D90B26" w:rsidRPr="006E109D">
          <w:rPr>
            <w:rStyle w:val="ac"/>
            <w:rFonts w:ascii="Arial"/>
            <w:sz w:val="14"/>
          </w:rPr>
          <w:t>yu315977@gmail.com</w:t>
        </w:r>
      </w:hyperlink>
      <w:r w:rsidR="00292ED9">
        <w:rPr>
          <w:noProof/>
          <w:lang w:val="en-IN" w:eastAsia="en-IN"/>
        </w:rPr>
        <mc:AlternateContent>
          <mc:Choice Requires="wps">
            <w:drawing>
              <wp:anchor distT="0" distB="0" distL="0" distR="0" simplePos="0" relativeHeight="1072" behindDoc="0" locked="0" layoutInCell="1" allowOverlap="1" wp14:anchorId="1B216411" wp14:editId="6B0895B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F99D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0A55F7E" w14:textId="77777777" w:rsidR="00AE3E37" w:rsidRDefault="00AE3E37">
      <w:pPr>
        <w:pStyle w:val="a3"/>
        <w:rPr>
          <w:rFonts w:ascii="Arial"/>
          <w:sz w:val="20"/>
        </w:rPr>
      </w:pPr>
    </w:p>
    <w:p w14:paraId="034D1F5F" w14:textId="77777777" w:rsidR="00AE3E37" w:rsidRDefault="00AE3E37">
      <w:pPr>
        <w:pStyle w:val="a3"/>
        <w:spacing w:before="7"/>
        <w:rPr>
          <w:rFonts w:ascii="Arial"/>
          <w:sz w:val="29"/>
        </w:rPr>
      </w:pPr>
    </w:p>
    <w:p w14:paraId="40B934A3" w14:textId="77777777" w:rsidR="00AE3E37" w:rsidRPr="00B21A57" w:rsidRDefault="00A9710C">
      <w:pPr>
        <w:spacing w:before="39"/>
        <w:ind w:left="100"/>
        <w:rPr>
          <w:rFonts w:ascii="Minion Pro"/>
          <w:b/>
          <w:sz w:val="20"/>
        </w:rPr>
      </w:pPr>
      <w:r w:rsidRPr="00B21A57">
        <w:rPr>
          <w:rFonts w:ascii="Minion Pro"/>
          <w:b/>
          <w:sz w:val="20"/>
        </w:rPr>
        <w:t>Notes/Comments:</w:t>
      </w:r>
    </w:p>
    <w:p w14:paraId="1C2522B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7B28F1D" w14:textId="4913B1B9"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94ADE" w14:textId="77777777" w:rsidR="00995C42" w:rsidRDefault="00995C42">
      <w:r>
        <w:separator/>
      </w:r>
    </w:p>
  </w:endnote>
  <w:endnote w:type="continuationSeparator" w:id="0">
    <w:p w14:paraId="535F809C" w14:textId="77777777" w:rsidR="00995C42" w:rsidRDefault="00995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574B1"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239222C" wp14:editId="04E0AF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6BB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B356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9222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8E6BB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B356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AAB40DB" wp14:editId="56E3F06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BD6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2593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B40D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3BBD6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2593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18B1111" wp14:editId="4F1A64A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406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6521F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B111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B4065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76521F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1F6BD" w14:textId="77777777" w:rsidR="00995C42" w:rsidRDefault="00995C42">
      <w:r>
        <w:separator/>
      </w:r>
    </w:p>
  </w:footnote>
  <w:footnote w:type="continuationSeparator" w:id="0">
    <w:p w14:paraId="6E1439F7" w14:textId="77777777" w:rsidR="00995C42" w:rsidRDefault="00995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6B645"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BBC7AC3" wp14:editId="18BE5E7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3822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C7AC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293822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A3AA39E" wp14:editId="16A3BA9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B196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D978D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AA39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90B196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D978D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426" w:hanging="284"/>
      </w:pPr>
      <w:rPr>
        <w:rFonts w:ascii="Calibri" w:eastAsia="Calibri" w:hAnsi="Calibri" w:cs="Calibri" w:hint="default"/>
        <w:spacing w:val="-16"/>
        <w:w w:val="100"/>
        <w:sz w:val="18"/>
        <w:szCs w:val="18"/>
      </w:rPr>
    </w:lvl>
    <w:lvl w:ilvl="1" w:tplc="C60E89D2">
      <w:start w:val="1"/>
      <w:numFmt w:val="bullet"/>
      <w:lvlText w:val="•"/>
      <w:lvlJc w:val="left"/>
      <w:pPr>
        <w:ind w:left="920" w:hanging="284"/>
      </w:pPr>
      <w:rPr>
        <w:rFonts w:hint="default"/>
      </w:rPr>
    </w:lvl>
    <w:lvl w:ilvl="2" w:tplc="9E4C3810">
      <w:start w:val="1"/>
      <w:numFmt w:val="bullet"/>
      <w:lvlText w:val="•"/>
      <w:lvlJc w:val="left"/>
      <w:pPr>
        <w:ind w:left="1417" w:hanging="284"/>
      </w:pPr>
      <w:rPr>
        <w:rFonts w:hint="default"/>
      </w:rPr>
    </w:lvl>
    <w:lvl w:ilvl="3" w:tplc="27FEBB2C">
      <w:start w:val="1"/>
      <w:numFmt w:val="bullet"/>
      <w:lvlText w:val="•"/>
      <w:lvlJc w:val="left"/>
      <w:pPr>
        <w:ind w:left="1914" w:hanging="284"/>
      </w:pPr>
      <w:rPr>
        <w:rFonts w:hint="default"/>
      </w:rPr>
    </w:lvl>
    <w:lvl w:ilvl="4" w:tplc="40E042A8">
      <w:start w:val="1"/>
      <w:numFmt w:val="bullet"/>
      <w:lvlText w:val="•"/>
      <w:lvlJc w:val="left"/>
      <w:pPr>
        <w:ind w:left="2412" w:hanging="284"/>
      </w:pPr>
      <w:rPr>
        <w:rFonts w:hint="default"/>
      </w:rPr>
    </w:lvl>
    <w:lvl w:ilvl="5" w:tplc="80EC61F2">
      <w:start w:val="1"/>
      <w:numFmt w:val="bullet"/>
      <w:lvlText w:val="•"/>
      <w:lvlJc w:val="left"/>
      <w:pPr>
        <w:ind w:left="2909" w:hanging="284"/>
      </w:pPr>
      <w:rPr>
        <w:rFonts w:hint="default"/>
      </w:rPr>
    </w:lvl>
    <w:lvl w:ilvl="6" w:tplc="F60232E2">
      <w:start w:val="1"/>
      <w:numFmt w:val="bullet"/>
      <w:lvlText w:val="•"/>
      <w:lvlJc w:val="left"/>
      <w:pPr>
        <w:ind w:left="3406" w:hanging="284"/>
      </w:pPr>
      <w:rPr>
        <w:rFonts w:hint="default"/>
      </w:rPr>
    </w:lvl>
    <w:lvl w:ilvl="7" w:tplc="69AE9EC2">
      <w:start w:val="1"/>
      <w:numFmt w:val="bullet"/>
      <w:lvlText w:val="•"/>
      <w:lvlJc w:val="left"/>
      <w:pPr>
        <w:ind w:left="3903" w:hanging="284"/>
      </w:pPr>
      <w:rPr>
        <w:rFonts w:hint="default"/>
      </w:rPr>
    </w:lvl>
    <w:lvl w:ilvl="8" w:tplc="16D69236">
      <w:start w:val="1"/>
      <w:numFmt w:val="bullet"/>
      <w:lvlText w:val="•"/>
      <w:lvlJc w:val="left"/>
      <w:pPr>
        <w:ind w:left="4401"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76D07"/>
    <w:rsid w:val="000E2911"/>
    <w:rsid w:val="001263DF"/>
    <w:rsid w:val="002455EC"/>
    <w:rsid w:val="00292ED9"/>
    <w:rsid w:val="003B3C61"/>
    <w:rsid w:val="00404E5B"/>
    <w:rsid w:val="00414F7B"/>
    <w:rsid w:val="004355DC"/>
    <w:rsid w:val="004749B4"/>
    <w:rsid w:val="00494130"/>
    <w:rsid w:val="004F3523"/>
    <w:rsid w:val="005973B9"/>
    <w:rsid w:val="005B3A56"/>
    <w:rsid w:val="006060CE"/>
    <w:rsid w:val="0063497F"/>
    <w:rsid w:val="00873DF0"/>
    <w:rsid w:val="008756E6"/>
    <w:rsid w:val="008A08B6"/>
    <w:rsid w:val="00995C42"/>
    <w:rsid w:val="009B2D44"/>
    <w:rsid w:val="00A07E82"/>
    <w:rsid w:val="00A9710C"/>
    <w:rsid w:val="00AE3E37"/>
    <w:rsid w:val="00B21A57"/>
    <w:rsid w:val="00B7492C"/>
    <w:rsid w:val="00C33602"/>
    <w:rsid w:val="00C83AC1"/>
    <w:rsid w:val="00CD6F55"/>
    <w:rsid w:val="00D90B26"/>
    <w:rsid w:val="00DE3104"/>
    <w:rsid w:val="00DF1FEF"/>
    <w:rsid w:val="00E26B10"/>
    <w:rsid w:val="00E86D5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F2BCE"/>
  <w15:docId w15:val="{0E74AA8A-A47C-457F-82BD-727E7FE0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D90B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u315977@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25653</cp:lastModifiedBy>
  <cp:revision>5</cp:revision>
  <dcterms:created xsi:type="dcterms:W3CDTF">2016-12-06T11:19:00Z</dcterms:created>
  <dcterms:modified xsi:type="dcterms:W3CDTF">2021-05-19T15:48:00Z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