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421010" w14:textId="36B9BCF1" w:rsidR="000D0B8C" w:rsidRPr="000D0B8C" w:rsidRDefault="000D0B8C" w:rsidP="000D0B8C">
      <w:pPr>
        <w:pStyle w:val="Heading1"/>
        <w:spacing w:before="170"/>
        <w:rPr>
          <w:color w:val="337AB7"/>
          <w:lang w:val="en-FR"/>
        </w:rPr>
      </w:pPr>
      <w:r w:rsidRPr="000D0B8C">
        <w:rPr>
          <w:color w:val="337AB7"/>
          <w:lang w:val="en-FR"/>
        </w:rPr>
        <w:t>High-performance Photoresponse of ZnO Nanostructures Electrodeposited on Carbon Fiber Bundle</w:t>
      </w:r>
    </w:p>
    <w:p w14:paraId="071C0A7A" w14:textId="144B3261" w:rsidR="00AE3E37" w:rsidRPr="00E72038" w:rsidRDefault="00E72038" w:rsidP="00E72038">
      <w:pPr>
        <w:pStyle w:val="BodyText"/>
        <w:spacing w:before="73" w:line="198" w:lineRule="exact"/>
        <w:ind w:left="100" w:right="5987"/>
        <w:rPr>
          <w:rFonts w:ascii="Arial"/>
          <w:lang w:val="fr-FR"/>
        </w:rPr>
      </w:pPr>
      <w:r w:rsidRPr="00E72038">
        <w:rPr>
          <w:rFonts w:ascii="Arial"/>
          <w:lang w:val="fr-FR"/>
        </w:rPr>
        <w:t>Murat GUNES</w:t>
      </w:r>
      <w:r w:rsidR="005973B9" w:rsidRPr="00E72038">
        <w:rPr>
          <w:rFonts w:ascii="Arial"/>
          <w:lang w:val="fr-FR"/>
        </w:rPr>
        <w:t xml:space="preserve">, </w:t>
      </w:r>
      <w:proofErr w:type="spellStart"/>
      <w:r w:rsidR="005973B9" w:rsidRPr="00E72038">
        <w:rPr>
          <w:rFonts w:ascii="Arial"/>
          <w:lang w:val="fr-FR"/>
        </w:rPr>
        <w:t>Ph</w:t>
      </w:r>
      <w:r w:rsidRPr="00E72038">
        <w:rPr>
          <w:rFonts w:ascii="Arial"/>
          <w:lang w:val="fr-FR"/>
        </w:rPr>
        <w:t>.</w:t>
      </w:r>
      <w:r w:rsidR="005973B9" w:rsidRPr="00E72038">
        <w:rPr>
          <w:rFonts w:ascii="Arial"/>
          <w:lang w:val="fr-FR"/>
        </w:rPr>
        <w:t>D</w:t>
      </w:r>
      <w:proofErr w:type="spellEnd"/>
      <w:r w:rsidRPr="00E72038">
        <w:rPr>
          <w:rFonts w:ascii="Arial"/>
          <w:lang w:val="fr-FR"/>
        </w:rPr>
        <w:t>.</w:t>
      </w:r>
      <w:r w:rsidR="005973B9" w:rsidRPr="00E72038">
        <w:rPr>
          <w:rFonts w:ascii="Arial"/>
          <w:lang w:val="fr-FR"/>
        </w:rPr>
        <w:t xml:space="preserve">, </w:t>
      </w:r>
      <w:r w:rsidRPr="00E72038">
        <w:rPr>
          <w:rFonts w:ascii="Arial"/>
          <w:lang w:val="fr-FR"/>
        </w:rPr>
        <w:t>EBYU, Turkey</w:t>
      </w:r>
    </w:p>
    <w:p w14:paraId="59CA8E36" w14:textId="488B3AF6" w:rsidR="00AE3E37" w:rsidRPr="00E72038" w:rsidRDefault="00AE3E37">
      <w:pPr>
        <w:pStyle w:val="BodyText"/>
        <w:spacing w:before="3"/>
        <w:rPr>
          <w:rFonts w:ascii="Arial"/>
          <w:sz w:val="21"/>
          <w:lang w:val="fr-FR"/>
        </w:rPr>
      </w:pPr>
    </w:p>
    <w:p w14:paraId="4ABE87AE" w14:textId="77777777" w:rsidR="00AE3E37" w:rsidRPr="00E72038" w:rsidRDefault="00AE3E37">
      <w:pPr>
        <w:rPr>
          <w:rFonts w:ascii="Arial"/>
          <w:sz w:val="21"/>
          <w:lang w:val="fr-FR"/>
        </w:rPr>
        <w:sectPr w:rsidR="00AE3E37" w:rsidRPr="00E72038">
          <w:headerReference w:type="default" r:id="rId7"/>
          <w:footerReference w:type="default" r:id="rId8"/>
          <w:type w:val="continuous"/>
          <w:pgSz w:w="11910" w:h="16840"/>
          <w:pgMar w:top="1740" w:right="600" w:bottom="840" w:left="620" w:header="541" w:footer="642" w:gutter="0"/>
          <w:cols w:space="720"/>
        </w:sectPr>
      </w:pPr>
    </w:p>
    <w:p w14:paraId="0A6804CB" w14:textId="594D2016"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074B04DD" w14:textId="58515516" w:rsidR="00445D69" w:rsidRPr="00445D69" w:rsidRDefault="00B17085" w:rsidP="00B17085">
      <w:pPr>
        <w:pStyle w:val="Heading3"/>
        <w:spacing w:before="74" w:line="276" w:lineRule="auto"/>
        <w:jc w:val="both"/>
        <w:rPr>
          <w:rFonts w:ascii="Tw Cen MT" w:hAnsi="Tw Cen MT"/>
          <w:b w:val="0"/>
          <w:bCs w:val="0"/>
          <w:sz w:val="19"/>
          <w:szCs w:val="19"/>
          <w:lang w:val="en-FR"/>
        </w:rPr>
      </w:pPr>
      <w:r w:rsidRPr="00B17085">
        <w:rPr>
          <w:b w:val="0"/>
          <w:noProof/>
          <w:sz w:val="19"/>
          <w:szCs w:val="19"/>
        </w:rPr>
        <w:drawing>
          <wp:anchor distT="0" distB="0" distL="114300" distR="114300" simplePos="0" relativeHeight="251677696" behindDoc="0" locked="0" layoutInCell="1" allowOverlap="1" wp14:anchorId="54D75942" wp14:editId="4899BA1C">
            <wp:simplePos x="0" y="0"/>
            <wp:positionH relativeFrom="column">
              <wp:posOffset>3550920</wp:posOffset>
            </wp:positionH>
            <wp:positionV relativeFrom="paragraph">
              <wp:posOffset>1058545</wp:posOffset>
            </wp:positionV>
            <wp:extent cx="3226435" cy="1362075"/>
            <wp:effectExtent l="0" t="0" r="0" b="0"/>
            <wp:wrapSquare wrapText="bothSides"/>
            <wp:docPr id="4"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histo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226435" cy="1362075"/>
                    </a:xfrm>
                    <a:prstGeom prst="rect">
                      <a:avLst/>
                    </a:prstGeom>
                  </pic:spPr>
                </pic:pic>
              </a:graphicData>
            </a:graphic>
            <wp14:sizeRelH relativeFrom="page">
              <wp14:pctWidth>0</wp14:pctWidth>
            </wp14:sizeRelH>
            <wp14:sizeRelV relativeFrom="page">
              <wp14:pctHeight>0</wp14:pctHeight>
            </wp14:sizeRelV>
          </wp:anchor>
        </w:drawing>
      </w:r>
      <w:r w:rsidR="00445D69" w:rsidRPr="00445D69">
        <w:rPr>
          <w:rFonts w:ascii="Tw Cen MT" w:hAnsi="Tw Cen MT"/>
          <w:b w:val="0"/>
          <w:bCs w:val="0"/>
          <w:sz w:val="19"/>
          <w:szCs w:val="19"/>
          <w:lang w:val="en-FR"/>
        </w:rPr>
        <w:t>The controllable uniform growth of ZnO nanostructures is appealing for optoelectronic applications. For the first time, to our best knowledge, we have developed a strategy and a systematic process to obtain homogeneous brush-like ZnO nanorods growth of carbon-fiber bundle (CFB) by designing a method to align carbon fibers carefully to investigate its photocurrent properties. This approach allows high-content ZnO nanorods to grow uniformly over not only a few fibers, a fiber bundle using the electrodeposition process as an effective low-temperature synthesis method. The obtained ZnO-Carbon fiber composites can combine the strong optical response and photocatalytic activity with the high specific surface area and pore volume on carbon fibers, which could produce interesting photocurrent sensors. The deposition process was carried out at 70 °C temperature by using a GAmbry, and the deposition rates for each coating were chosen as 5, 10, and 20 min under -1.5 V deposition voltage. It can be concluded that different morphologies (corn-shaped and brush-shaped) can be obtained by adjusting electrodeposition time, which plays a significant role in the morphology of ZnO. The photoresponses of the nanorods under the illumination modulated at voltages ranging from 0.0001 to 0.3 V illustrate that the intensity of the photoresponse is dependent on the illumination time. It is observed that photoresponse intensity is reduced with increased voltage. It is also demonstrated that the brush-like ZnO on CFB is a promising light-absorbent with lightweight, small thickness, strong absorption, and broad bandwidth. By using various sizes of carbon fiber bundles and the duration of coating with different molarity, our approach can offer many opportunities to develop new types of composite materials that display enhanced photocurrent, photocatalytic, and many other behaviors. </w:t>
      </w:r>
    </w:p>
    <w:p w14:paraId="510D397E" w14:textId="77777777" w:rsidR="00AE3E37" w:rsidRDefault="00A9710C">
      <w:pPr>
        <w:pStyle w:val="Heading3"/>
        <w:spacing w:before="74"/>
      </w:pPr>
      <w:r>
        <w:rPr>
          <w:b w:val="0"/>
        </w:rPr>
        <w:br w:type="column"/>
      </w:r>
      <w:r>
        <w:rPr>
          <w:color w:val="BF5A14"/>
        </w:rPr>
        <w:t>Image</w:t>
      </w:r>
    </w:p>
    <w:p w14:paraId="03637E54" w14:textId="652F07F6" w:rsidR="00AE3E37" w:rsidRDefault="00445D69">
      <w:pPr>
        <w:pStyle w:val="BodyText"/>
        <w:spacing w:before="2"/>
        <w:rPr>
          <w:rFonts w:ascii="Arial"/>
          <w:b/>
          <w:sz w:val="16"/>
        </w:rPr>
      </w:pPr>
      <w:r>
        <w:rPr>
          <w:noProof/>
          <w:lang w:val="en-IN" w:eastAsia="en-IN"/>
        </w:rPr>
        <w:drawing>
          <wp:anchor distT="0" distB="0" distL="114300" distR="114300" simplePos="0" relativeHeight="251654144" behindDoc="0" locked="0" layoutInCell="1" allowOverlap="1" wp14:anchorId="1AA35A61" wp14:editId="1FCC9220">
            <wp:simplePos x="0" y="0"/>
            <wp:positionH relativeFrom="column">
              <wp:posOffset>190500</wp:posOffset>
            </wp:positionH>
            <wp:positionV relativeFrom="paragraph">
              <wp:posOffset>144780</wp:posOffset>
            </wp:positionV>
            <wp:extent cx="1581150" cy="888743"/>
            <wp:effectExtent l="0" t="0" r="0" b="635"/>
            <wp:wrapSquare wrapText="bothSides"/>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1150" cy="888743"/>
                    </a:xfrm>
                    <a:prstGeom prst="rect">
                      <a:avLst/>
                    </a:prstGeom>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0" distL="114300" distR="114300" simplePos="0" relativeHeight="251668480" behindDoc="0" locked="0" layoutInCell="1" allowOverlap="1" wp14:anchorId="311EA3BC" wp14:editId="0898A94C">
            <wp:simplePos x="0" y="0"/>
            <wp:positionH relativeFrom="column">
              <wp:posOffset>1865630</wp:posOffset>
            </wp:positionH>
            <wp:positionV relativeFrom="paragraph">
              <wp:posOffset>144780</wp:posOffset>
            </wp:positionV>
            <wp:extent cx="1511935" cy="859790"/>
            <wp:effectExtent l="0" t="0" r="0" b="3810"/>
            <wp:wrapSquare wrapText="bothSides"/>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1935" cy="859790"/>
                    </a:xfrm>
                    <a:prstGeom prst="rect">
                      <a:avLst/>
                    </a:prstGeom>
                  </pic:spPr>
                </pic:pic>
              </a:graphicData>
            </a:graphic>
            <wp14:sizeRelH relativeFrom="page">
              <wp14:pctWidth>0</wp14:pctWidth>
            </wp14:sizeRelH>
            <wp14:sizeRelV relativeFrom="page">
              <wp14:pctHeight>0</wp14:pctHeight>
            </wp14:sizeRelV>
          </wp:anchor>
        </w:drawing>
      </w:r>
      <w:r w:rsidR="00B17085" w:rsidRPr="00B17085">
        <w:rPr>
          <w:rFonts w:ascii="Arial"/>
          <w:b/>
          <w:noProof/>
          <w:sz w:val="16"/>
        </w:rPr>
        <w:t xml:space="preserve"> </w:t>
      </w:r>
    </w:p>
    <w:p w14:paraId="402214A6" w14:textId="0B7F4889" w:rsidR="00B17085" w:rsidRDefault="00B17085" w:rsidP="005973B9">
      <w:pPr>
        <w:spacing w:line="204" w:lineRule="exact"/>
        <w:rPr>
          <w:rFonts w:ascii="Arial"/>
          <w:b/>
          <w:color w:val="BF5A14"/>
          <w:sz w:val="20"/>
        </w:rPr>
      </w:pPr>
      <w:r>
        <w:rPr>
          <w:rFonts w:ascii="Arial"/>
          <w:b/>
          <w:noProof/>
          <w:color w:val="BF5A14"/>
          <w:sz w:val="20"/>
        </w:rPr>
        <mc:AlternateContent>
          <mc:Choice Requires="wps">
            <w:drawing>
              <wp:anchor distT="0" distB="0" distL="114300" distR="114300" simplePos="0" relativeHeight="251663360" behindDoc="0" locked="0" layoutInCell="1" allowOverlap="1" wp14:anchorId="2D0E6A5D" wp14:editId="3F7748BD">
                <wp:simplePos x="0" y="0"/>
                <wp:positionH relativeFrom="column">
                  <wp:posOffset>74930</wp:posOffset>
                </wp:positionH>
                <wp:positionV relativeFrom="paragraph">
                  <wp:posOffset>1460500</wp:posOffset>
                </wp:positionV>
                <wp:extent cx="3302635" cy="676275"/>
                <wp:effectExtent l="0" t="0" r="12065" b="9525"/>
                <wp:wrapNone/>
                <wp:docPr id="6" name="Text Box 6"/>
                <wp:cNvGraphicFramePr/>
                <a:graphic xmlns:a="http://schemas.openxmlformats.org/drawingml/2006/main">
                  <a:graphicData uri="http://schemas.microsoft.com/office/word/2010/wordprocessingShape">
                    <wps:wsp>
                      <wps:cNvSpPr txBox="1"/>
                      <wps:spPr>
                        <a:xfrm>
                          <a:off x="0" y="0"/>
                          <a:ext cx="3302635" cy="676275"/>
                        </a:xfrm>
                        <a:prstGeom prst="rect">
                          <a:avLst/>
                        </a:prstGeom>
                        <a:solidFill>
                          <a:schemeClr val="lt1"/>
                        </a:solidFill>
                        <a:ln w="6350">
                          <a:solidFill>
                            <a:prstClr val="black"/>
                          </a:solidFill>
                        </a:ln>
                      </wps:spPr>
                      <wps:txbx>
                        <w:txbxContent>
                          <w:p w14:paraId="3372C6D7" w14:textId="31486D22" w:rsidR="00B17085" w:rsidRPr="002A645D" w:rsidRDefault="00B17085" w:rsidP="00B17085">
                            <w:pPr>
                              <w:jc w:val="both"/>
                              <w:rPr>
                                <w:rFonts w:ascii="Calibri" w:hAnsi="Calibri" w:cs="Calibri"/>
                                <w:color w:val="000000" w:themeColor="text1"/>
                                <w:sz w:val="18"/>
                                <w:szCs w:val="18"/>
                              </w:rPr>
                            </w:pPr>
                            <w:r w:rsidRPr="00B17085">
                              <w:rPr>
                                <w:rFonts w:ascii="Calibri" w:hAnsi="Calibri" w:cs="Calibri"/>
                                <w:b/>
                                <w:bCs/>
                                <w:color w:val="000000" w:themeColor="text1"/>
                                <w:sz w:val="18"/>
                                <w:szCs w:val="18"/>
                              </w:rPr>
                              <w:t>Figure:</w:t>
                            </w:r>
                            <w:r>
                              <w:rPr>
                                <w:rFonts w:ascii="Calibri" w:hAnsi="Calibri" w:cs="Calibri"/>
                                <w:color w:val="000000" w:themeColor="text1"/>
                                <w:sz w:val="18"/>
                                <w:szCs w:val="18"/>
                              </w:rPr>
                              <w:t xml:space="preserve"> </w:t>
                            </w:r>
                            <w:r>
                              <w:rPr>
                                <w:rFonts w:ascii="Calibri" w:hAnsi="Calibri" w:cs="Calibri"/>
                                <w:color w:val="000000" w:themeColor="text1"/>
                                <w:sz w:val="18"/>
                                <w:szCs w:val="18"/>
                              </w:rPr>
                              <w:t xml:space="preserve">(Right-up) </w:t>
                            </w:r>
                            <w:r w:rsidRPr="002A645D">
                              <w:rPr>
                                <w:rFonts w:ascii="Calibri" w:hAnsi="Calibri" w:cs="Calibri"/>
                                <w:color w:val="000000" w:themeColor="text1"/>
                                <w:sz w:val="18"/>
                                <w:szCs w:val="18"/>
                              </w:rPr>
                              <w:t xml:space="preserve">The </w:t>
                            </w:r>
                            <w:r>
                              <w:rPr>
                                <w:rFonts w:ascii="Calibri" w:hAnsi="Calibri" w:cs="Calibri"/>
                                <w:color w:val="000000" w:themeColor="text1"/>
                                <w:sz w:val="18"/>
                                <w:szCs w:val="18"/>
                              </w:rPr>
                              <w:t>representation</w:t>
                            </w:r>
                            <w:r w:rsidRPr="002A645D">
                              <w:rPr>
                                <w:rFonts w:ascii="Calibri" w:hAnsi="Calibri" w:cs="Calibri"/>
                                <w:color w:val="000000" w:themeColor="text1"/>
                                <w:sz w:val="18"/>
                                <w:szCs w:val="18"/>
                              </w:rPr>
                              <w:t xml:space="preserve"> of the sample</w:t>
                            </w:r>
                            <w:r>
                              <w:rPr>
                                <w:rFonts w:ascii="Calibri" w:hAnsi="Calibri" w:cs="Calibri"/>
                                <w:color w:val="000000" w:themeColor="text1"/>
                                <w:sz w:val="18"/>
                                <w:szCs w:val="18"/>
                              </w:rPr>
                              <w:t xml:space="preserve">s </w:t>
                            </w:r>
                            <w:r w:rsidRPr="002A645D">
                              <w:rPr>
                                <w:rFonts w:ascii="Calibri" w:hAnsi="Calibri" w:cs="Calibri"/>
                                <w:color w:val="000000" w:themeColor="text1"/>
                                <w:sz w:val="18"/>
                                <w:szCs w:val="18"/>
                              </w:rPr>
                              <w:t>for the experiment</w:t>
                            </w:r>
                            <w:r>
                              <w:rPr>
                                <w:rFonts w:ascii="Calibri" w:hAnsi="Calibri" w:cs="Calibri"/>
                                <w:color w:val="000000" w:themeColor="text1"/>
                                <w:sz w:val="18"/>
                                <w:szCs w:val="18"/>
                              </w:rPr>
                              <w:t xml:space="preserve">s. </w:t>
                            </w:r>
                            <w:r w:rsidRPr="002A645D">
                              <w:rPr>
                                <w:rFonts w:ascii="Calibri" w:hAnsi="Calibri" w:cs="Calibri"/>
                                <w:color w:val="000000" w:themeColor="text1"/>
                                <w:sz w:val="18"/>
                                <w:szCs w:val="18"/>
                              </w:rPr>
                              <w:t xml:space="preserve">(Left-up) SEM images of electrochemically grown </w:t>
                            </w:r>
                            <w:proofErr w:type="spellStart"/>
                            <w:r w:rsidRPr="002A645D">
                              <w:rPr>
                                <w:rFonts w:ascii="Calibri" w:hAnsi="Calibri" w:cs="Calibri"/>
                                <w:color w:val="000000" w:themeColor="text1"/>
                                <w:sz w:val="18"/>
                                <w:szCs w:val="18"/>
                              </w:rPr>
                              <w:t>ZnO</w:t>
                            </w:r>
                            <w:proofErr w:type="spellEnd"/>
                            <w:r w:rsidRPr="002A645D">
                              <w:rPr>
                                <w:rFonts w:ascii="Calibri" w:hAnsi="Calibri" w:cs="Calibri"/>
                                <w:color w:val="000000" w:themeColor="text1"/>
                                <w:sz w:val="18"/>
                                <w:szCs w:val="18"/>
                              </w:rPr>
                              <w:t xml:space="preserve"> </w:t>
                            </w:r>
                            <w:proofErr w:type="spellStart"/>
                            <w:r w:rsidRPr="002A645D">
                              <w:rPr>
                                <w:rFonts w:ascii="Calibri" w:hAnsi="Calibri" w:cs="Calibri"/>
                                <w:color w:val="000000" w:themeColor="text1"/>
                                <w:sz w:val="18"/>
                                <w:szCs w:val="18"/>
                              </w:rPr>
                              <w:t>nanorodes</w:t>
                            </w:r>
                            <w:proofErr w:type="spellEnd"/>
                            <w:r w:rsidRPr="002A645D">
                              <w:rPr>
                                <w:rFonts w:ascii="Calibri" w:hAnsi="Calibri" w:cs="Calibri"/>
                                <w:color w:val="000000" w:themeColor="text1"/>
                                <w:sz w:val="18"/>
                                <w:szCs w:val="18"/>
                              </w:rPr>
                              <w:t xml:space="preserve"> on CFB samples. (</w:t>
                            </w:r>
                            <w:r>
                              <w:rPr>
                                <w:rFonts w:ascii="Calibri" w:hAnsi="Calibri" w:cs="Calibri"/>
                                <w:color w:val="000000" w:themeColor="text1"/>
                                <w:sz w:val="18"/>
                                <w:szCs w:val="18"/>
                              </w:rPr>
                              <w:t>B</w:t>
                            </w:r>
                            <w:r w:rsidRPr="002A645D">
                              <w:rPr>
                                <w:rFonts w:ascii="Calibri" w:hAnsi="Calibri" w:cs="Calibri"/>
                                <w:color w:val="000000" w:themeColor="text1"/>
                                <w:sz w:val="18"/>
                                <w:szCs w:val="18"/>
                              </w:rPr>
                              <w:t xml:space="preserve">elow) Reversibility of </w:t>
                            </w:r>
                            <w:proofErr w:type="spellStart"/>
                            <w:r w:rsidRPr="002A645D">
                              <w:rPr>
                                <w:rFonts w:ascii="Calibri" w:hAnsi="Calibri" w:cs="Calibri"/>
                                <w:color w:val="000000" w:themeColor="text1"/>
                                <w:sz w:val="18"/>
                                <w:szCs w:val="18"/>
                              </w:rPr>
                              <w:t>ZnO</w:t>
                            </w:r>
                            <w:proofErr w:type="spellEnd"/>
                            <w:r w:rsidRPr="002A645D">
                              <w:rPr>
                                <w:rFonts w:ascii="Calibri" w:hAnsi="Calibri" w:cs="Calibri"/>
                                <w:color w:val="000000" w:themeColor="text1"/>
                                <w:sz w:val="18"/>
                                <w:szCs w:val="18"/>
                              </w:rPr>
                              <w:t xml:space="preserve"> nanorod-on-Carbon Fiber Bundles (CFBs) composite used for UV detector.</w:t>
                            </w:r>
                          </w:p>
                          <w:p w14:paraId="088847F5" w14:textId="77777777" w:rsidR="00B17085" w:rsidRDefault="00B17085" w:rsidP="00B170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0E6A5D" id="_x0000_t202" coordsize="21600,21600" o:spt="202" path="m,l,21600r21600,l21600,xe">
                <v:stroke joinstyle="miter"/>
                <v:path gradientshapeok="t" o:connecttype="rect"/>
              </v:shapetype>
              <v:shape id="Text Box 6" o:spid="_x0000_s1026" type="#_x0000_t202" style="position:absolute;margin-left:5.9pt;margin-top:115pt;width:260.05pt;height:53.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" fillcolor="white [3201]" strokeweight=".5pt">
                <v:textbox>
                  <w:txbxContent>
                    <w:p w14:paraId="3372C6D7" w14:textId="31486D22" w:rsidR="00B17085" w:rsidRPr="002A645D" w:rsidRDefault="00B17085" w:rsidP="00B17085">
                      <w:pPr>
                        <w:jc w:val="both"/>
                        <w:rPr>
                          <w:rFonts w:ascii="Calibri" w:hAnsi="Calibri" w:cs="Calibri"/>
                          <w:color w:val="000000" w:themeColor="text1"/>
                          <w:sz w:val="18"/>
                          <w:szCs w:val="18"/>
                        </w:rPr>
                      </w:pPr>
                      <w:r w:rsidRPr="00B17085">
                        <w:rPr>
                          <w:rFonts w:ascii="Calibri" w:hAnsi="Calibri" w:cs="Calibri"/>
                          <w:b/>
                          <w:bCs/>
                          <w:color w:val="000000" w:themeColor="text1"/>
                          <w:sz w:val="18"/>
                          <w:szCs w:val="18"/>
                        </w:rPr>
                        <w:t>Figure:</w:t>
                      </w:r>
                      <w:r>
                        <w:rPr>
                          <w:rFonts w:ascii="Calibri" w:hAnsi="Calibri" w:cs="Calibri"/>
                          <w:color w:val="000000" w:themeColor="text1"/>
                          <w:sz w:val="18"/>
                          <w:szCs w:val="18"/>
                        </w:rPr>
                        <w:t xml:space="preserve"> </w:t>
                      </w:r>
                      <w:r>
                        <w:rPr>
                          <w:rFonts w:ascii="Calibri" w:hAnsi="Calibri" w:cs="Calibri"/>
                          <w:color w:val="000000" w:themeColor="text1"/>
                          <w:sz w:val="18"/>
                          <w:szCs w:val="18"/>
                        </w:rPr>
                        <w:t xml:space="preserve">(Right-up) </w:t>
                      </w:r>
                      <w:r w:rsidRPr="002A645D">
                        <w:rPr>
                          <w:rFonts w:ascii="Calibri" w:hAnsi="Calibri" w:cs="Calibri"/>
                          <w:color w:val="000000" w:themeColor="text1"/>
                          <w:sz w:val="18"/>
                          <w:szCs w:val="18"/>
                        </w:rPr>
                        <w:t xml:space="preserve">The </w:t>
                      </w:r>
                      <w:r>
                        <w:rPr>
                          <w:rFonts w:ascii="Calibri" w:hAnsi="Calibri" w:cs="Calibri"/>
                          <w:color w:val="000000" w:themeColor="text1"/>
                          <w:sz w:val="18"/>
                          <w:szCs w:val="18"/>
                        </w:rPr>
                        <w:t>representation</w:t>
                      </w:r>
                      <w:r w:rsidRPr="002A645D">
                        <w:rPr>
                          <w:rFonts w:ascii="Calibri" w:hAnsi="Calibri" w:cs="Calibri"/>
                          <w:color w:val="000000" w:themeColor="text1"/>
                          <w:sz w:val="18"/>
                          <w:szCs w:val="18"/>
                        </w:rPr>
                        <w:t xml:space="preserve"> of the sample</w:t>
                      </w:r>
                      <w:r>
                        <w:rPr>
                          <w:rFonts w:ascii="Calibri" w:hAnsi="Calibri" w:cs="Calibri"/>
                          <w:color w:val="000000" w:themeColor="text1"/>
                          <w:sz w:val="18"/>
                          <w:szCs w:val="18"/>
                        </w:rPr>
                        <w:t xml:space="preserve">s </w:t>
                      </w:r>
                      <w:r w:rsidRPr="002A645D">
                        <w:rPr>
                          <w:rFonts w:ascii="Calibri" w:hAnsi="Calibri" w:cs="Calibri"/>
                          <w:color w:val="000000" w:themeColor="text1"/>
                          <w:sz w:val="18"/>
                          <w:szCs w:val="18"/>
                        </w:rPr>
                        <w:t>for the experiment</w:t>
                      </w:r>
                      <w:r>
                        <w:rPr>
                          <w:rFonts w:ascii="Calibri" w:hAnsi="Calibri" w:cs="Calibri"/>
                          <w:color w:val="000000" w:themeColor="text1"/>
                          <w:sz w:val="18"/>
                          <w:szCs w:val="18"/>
                        </w:rPr>
                        <w:t xml:space="preserve">s. </w:t>
                      </w:r>
                      <w:r w:rsidRPr="002A645D">
                        <w:rPr>
                          <w:rFonts w:ascii="Calibri" w:hAnsi="Calibri" w:cs="Calibri"/>
                          <w:color w:val="000000" w:themeColor="text1"/>
                          <w:sz w:val="18"/>
                          <w:szCs w:val="18"/>
                        </w:rPr>
                        <w:t xml:space="preserve">(Left-up) SEM images of electrochemically grown </w:t>
                      </w:r>
                      <w:proofErr w:type="spellStart"/>
                      <w:r w:rsidRPr="002A645D">
                        <w:rPr>
                          <w:rFonts w:ascii="Calibri" w:hAnsi="Calibri" w:cs="Calibri"/>
                          <w:color w:val="000000" w:themeColor="text1"/>
                          <w:sz w:val="18"/>
                          <w:szCs w:val="18"/>
                        </w:rPr>
                        <w:t>ZnO</w:t>
                      </w:r>
                      <w:proofErr w:type="spellEnd"/>
                      <w:r w:rsidRPr="002A645D">
                        <w:rPr>
                          <w:rFonts w:ascii="Calibri" w:hAnsi="Calibri" w:cs="Calibri"/>
                          <w:color w:val="000000" w:themeColor="text1"/>
                          <w:sz w:val="18"/>
                          <w:szCs w:val="18"/>
                        </w:rPr>
                        <w:t xml:space="preserve"> </w:t>
                      </w:r>
                      <w:proofErr w:type="spellStart"/>
                      <w:r w:rsidRPr="002A645D">
                        <w:rPr>
                          <w:rFonts w:ascii="Calibri" w:hAnsi="Calibri" w:cs="Calibri"/>
                          <w:color w:val="000000" w:themeColor="text1"/>
                          <w:sz w:val="18"/>
                          <w:szCs w:val="18"/>
                        </w:rPr>
                        <w:t>nanorodes</w:t>
                      </w:r>
                      <w:proofErr w:type="spellEnd"/>
                      <w:r w:rsidRPr="002A645D">
                        <w:rPr>
                          <w:rFonts w:ascii="Calibri" w:hAnsi="Calibri" w:cs="Calibri"/>
                          <w:color w:val="000000" w:themeColor="text1"/>
                          <w:sz w:val="18"/>
                          <w:szCs w:val="18"/>
                        </w:rPr>
                        <w:t xml:space="preserve"> on CFB samples. (</w:t>
                      </w:r>
                      <w:r>
                        <w:rPr>
                          <w:rFonts w:ascii="Calibri" w:hAnsi="Calibri" w:cs="Calibri"/>
                          <w:color w:val="000000" w:themeColor="text1"/>
                          <w:sz w:val="18"/>
                          <w:szCs w:val="18"/>
                        </w:rPr>
                        <w:t>B</w:t>
                      </w:r>
                      <w:r w:rsidRPr="002A645D">
                        <w:rPr>
                          <w:rFonts w:ascii="Calibri" w:hAnsi="Calibri" w:cs="Calibri"/>
                          <w:color w:val="000000" w:themeColor="text1"/>
                          <w:sz w:val="18"/>
                          <w:szCs w:val="18"/>
                        </w:rPr>
                        <w:t xml:space="preserve">elow) Reversibility of </w:t>
                      </w:r>
                      <w:proofErr w:type="spellStart"/>
                      <w:r w:rsidRPr="002A645D">
                        <w:rPr>
                          <w:rFonts w:ascii="Calibri" w:hAnsi="Calibri" w:cs="Calibri"/>
                          <w:color w:val="000000" w:themeColor="text1"/>
                          <w:sz w:val="18"/>
                          <w:szCs w:val="18"/>
                        </w:rPr>
                        <w:t>ZnO</w:t>
                      </w:r>
                      <w:proofErr w:type="spellEnd"/>
                      <w:r w:rsidRPr="002A645D">
                        <w:rPr>
                          <w:rFonts w:ascii="Calibri" w:hAnsi="Calibri" w:cs="Calibri"/>
                          <w:color w:val="000000" w:themeColor="text1"/>
                          <w:sz w:val="18"/>
                          <w:szCs w:val="18"/>
                        </w:rPr>
                        <w:t xml:space="preserve"> nanorod-on-Carbon Fiber Bundles (CFBs) composite used for UV detector.</w:t>
                      </w:r>
                    </w:p>
                    <w:p w14:paraId="088847F5" w14:textId="77777777" w:rsidR="00B17085" w:rsidRDefault="00B17085" w:rsidP="00B17085"/>
                  </w:txbxContent>
                </v:textbox>
              </v:shape>
            </w:pict>
          </mc:Fallback>
        </mc:AlternateContent>
      </w:r>
      <w:r w:rsidR="005973B9">
        <w:rPr>
          <w:rFonts w:ascii="Arial"/>
          <w:b/>
          <w:color w:val="BF5A14"/>
          <w:sz w:val="20"/>
        </w:rPr>
        <w:br/>
      </w:r>
    </w:p>
    <w:p w14:paraId="7F3F3640" w14:textId="77777777" w:rsidR="00B17085" w:rsidRDefault="00B17085" w:rsidP="005973B9">
      <w:pPr>
        <w:spacing w:line="204" w:lineRule="exact"/>
        <w:rPr>
          <w:rFonts w:ascii="Arial"/>
          <w:b/>
          <w:color w:val="BF5A14"/>
          <w:sz w:val="20"/>
        </w:rPr>
      </w:pPr>
    </w:p>
    <w:p w14:paraId="299B7C22" w14:textId="77777777" w:rsidR="00B17085" w:rsidRDefault="00B17085" w:rsidP="005973B9">
      <w:pPr>
        <w:spacing w:line="204" w:lineRule="exact"/>
        <w:rPr>
          <w:rFonts w:ascii="Arial"/>
          <w:b/>
          <w:color w:val="BF5A14"/>
          <w:sz w:val="20"/>
        </w:rPr>
      </w:pPr>
    </w:p>
    <w:p w14:paraId="0F76C568" w14:textId="77777777" w:rsidR="00B17085" w:rsidRDefault="00B17085" w:rsidP="005973B9">
      <w:pPr>
        <w:spacing w:line="204" w:lineRule="exact"/>
        <w:rPr>
          <w:rFonts w:ascii="Arial"/>
          <w:b/>
          <w:color w:val="BF5A14"/>
          <w:sz w:val="20"/>
        </w:rPr>
      </w:pPr>
    </w:p>
    <w:p w14:paraId="74A5D600" w14:textId="77777777" w:rsidR="00B17085" w:rsidRDefault="00B17085" w:rsidP="005973B9">
      <w:pPr>
        <w:spacing w:line="204" w:lineRule="exact"/>
        <w:rPr>
          <w:rFonts w:ascii="Arial"/>
          <w:b/>
          <w:color w:val="BF5A14"/>
          <w:sz w:val="20"/>
        </w:rPr>
      </w:pPr>
    </w:p>
    <w:p w14:paraId="1AF2110B" w14:textId="5A7FD1F0" w:rsidR="005973B9" w:rsidRDefault="005973B9" w:rsidP="005973B9">
      <w:pPr>
        <w:spacing w:line="204" w:lineRule="exact"/>
        <w:rPr>
          <w:rFonts w:ascii="Arial"/>
          <w:b/>
          <w:sz w:val="20"/>
        </w:rPr>
      </w:pPr>
      <w:r>
        <w:rPr>
          <w:rFonts w:ascii="Arial"/>
          <w:b/>
          <w:color w:val="BF5A14"/>
          <w:sz w:val="20"/>
        </w:rPr>
        <w:t>Recent Publications (minimum 5)</w:t>
      </w:r>
    </w:p>
    <w:p w14:paraId="5D6C8645" w14:textId="77777777" w:rsidR="00B17085" w:rsidRPr="00B17085" w:rsidRDefault="00B17085" w:rsidP="00B17085">
      <w:pPr>
        <w:pStyle w:val="ListParagraph"/>
        <w:numPr>
          <w:ilvl w:val="0"/>
          <w:numId w:val="3"/>
        </w:numPr>
        <w:tabs>
          <w:tab w:val="left" w:pos="384"/>
        </w:tabs>
        <w:ind w:right="117"/>
        <w:rPr>
          <w:sz w:val="18"/>
          <w:lang w:val="en-FR"/>
        </w:rPr>
      </w:pPr>
      <w:r w:rsidRPr="00B17085">
        <w:rPr>
          <w:sz w:val="18"/>
          <w:lang w:val="en-FR"/>
        </w:rPr>
        <w:t xml:space="preserve">M Gunes, </w:t>
      </w:r>
      <w:r w:rsidRPr="00B17085">
        <w:rPr>
          <w:sz w:val="18"/>
          <w:lang w:val="tr-TR"/>
        </w:rPr>
        <w:t xml:space="preserve">et. </w:t>
      </w:r>
      <w:proofErr w:type="gramStart"/>
      <w:r w:rsidRPr="00B17085">
        <w:rPr>
          <w:sz w:val="18"/>
          <w:lang w:val="tr-TR"/>
        </w:rPr>
        <w:t>al</w:t>
      </w:r>
      <w:proofErr w:type="gramEnd"/>
      <w:r w:rsidRPr="00B17085">
        <w:rPr>
          <w:sz w:val="18"/>
          <w:lang w:val="tr-TR"/>
        </w:rPr>
        <w:t xml:space="preserve">. (2017) </w:t>
      </w:r>
      <w:r w:rsidRPr="00B17085">
        <w:rPr>
          <w:sz w:val="18"/>
          <w:lang w:val="en-FR"/>
        </w:rPr>
        <w:t>A versatile system for Hall effect measurements at high temperature</w:t>
      </w:r>
      <w:r w:rsidRPr="00B17085">
        <w:rPr>
          <w:sz w:val="18"/>
          <w:lang w:val="tr-TR"/>
        </w:rPr>
        <w:t xml:space="preserve">, MST </w:t>
      </w:r>
      <w:r w:rsidRPr="00B17085">
        <w:rPr>
          <w:sz w:val="18"/>
          <w:lang w:val="en-FR"/>
        </w:rPr>
        <w:t>28, 105905</w:t>
      </w:r>
      <w:r>
        <w:rPr>
          <w:sz w:val="18"/>
          <w:lang w:val="tr-TR"/>
        </w:rPr>
        <w:t>.</w:t>
      </w:r>
      <w:hyperlink r:id="rId12" w:history="1"/>
      <w:r w:rsidRPr="00B17085">
        <w:rPr>
          <w:sz w:val="18"/>
        </w:rPr>
        <w:t xml:space="preserve"> </w:t>
      </w:r>
    </w:p>
    <w:p w14:paraId="0339581E" w14:textId="77777777" w:rsidR="00B17085" w:rsidRPr="00B17085" w:rsidRDefault="00B17085" w:rsidP="00B17085">
      <w:pPr>
        <w:pStyle w:val="ListParagraph"/>
        <w:numPr>
          <w:ilvl w:val="0"/>
          <w:numId w:val="3"/>
        </w:numPr>
        <w:tabs>
          <w:tab w:val="left" w:pos="384"/>
        </w:tabs>
        <w:ind w:right="117"/>
        <w:rPr>
          <w:sz w:val="18"/>
          <w:lang w:val="en-FR"/>
        </w:rPr>
      </w:pPr>
      <w:r w:rsidRPr="00B17085">
        <w:rPr>
          <w:sz w:val="18"/>
          <w:lang w:val="en-FR"/>
        </w:rPr>
        <w:t xml:space="preserve">M Gunes, </w:t>
      </w:r>
      <w:r w:rsidRPr="00B17085">
        <w:rPr>
          <w:sz w:val="18"/>
          <w:lang w:val="tr-TR"/>
        </w:rPr>
        <w:t xml:space="preserve">et. </w:t>
      </w:r>
      <w:proofErr w:type="gramStart"/>
      <w:r w:rsidRPr="00B17085">
        <w:rPr>
          <w:sz w:val="18"/>
          <w:lang w:val="tr-TR"/>
        </w:rPr>
        <w:t>al</w:t>
      </w:r>
      <w:proofErr w:type="gramEnd"/>
      <w:r w:rsidRPr="00B17085">
        <w:rPr>
          <w:sz w:val="18"/>
          <w:lang w:val="tr-TR"/>
        </w:rPr>
        <w:t xml:space="preserve">. (2015) </w:t>
      </w:r>
      <w:r w:rsidRPr="00B17085">
        <w:rPr>
          <w:sz w:val="18"/>
          <w:lang w:val="en-FR"/>
        </w:rPr>
        <w:t>Effect of grain size and porosity on phonon scattering enhancement of Ca</w:t>
      </w:r>
      <w:r w:rsidRPr="00B17085">
        <w:rPr>
          <w:sz w:val="18"/>
          <w:vertAlign w:val="subscript"/>
          <w:lang w:val="en-FR"/>
        </w:rPr>
        <w:t>3</w:t>
      </w:r>
      <w:r w:rsidRPr="00B17085">
        <w:rPr>
          <w:sz w:val="18"/>
          <w:lang w:val="en-FR"/>
        </w:rPr>
        <w:t>Co</w:t>
      </w:r>
      <w:r w:rsidRPr="00B17085">
        <w:rPr>
          <w:sz w:val="18"/>
          <w:vertAlign w:val="subscript"/>
          <w:lang w:val="en-FR"/>
        </w:rPr>
        <w:t>4</w:t>
      </w:r>
      <w:r w:rsidRPr="00B17085">
        <w:rPr>
          <w:sz w:val="18"/>
          <w:lang w:val="en-FR"/>
        </w:rPr>
        <w:t>O9</w:t>
      </w:r>
      <w:r w:rsidRPr="00B17085">
        <w:rPr>
          <w:sz w:val="18"/>
          <w:lang w:val="tr-TR"/>
        </w:rPr>
        <w:t xml:space="preserve">, </w:t>
      </w:r>
      <w:r w:rsidRPr="00B17085">
        <w:rPr>
          <w:sz w:val="18"/>
          <w:lang w:val="en-FR"/>
        </w:rPr>
        <w:t>J</w:t>
      </w:r>
      <w:r w:rsidRPr="00B17085">
        <w:rPr>
          <w:sz w:val="18"/>
          <w:lang w:val="tr-TR"/>
        </w:rPr>
        <w:t>.</w:t>
      </w:r>
      <w:r w:rsidRPr="00B17085">
        <w:rPr>
          <w:sz w:val="18"/>
          <w:lang w:val="en-FR"/>
        </w:rPr>
        <w:t xml:space="preserve"> of Alloy </w:t>
      </w:r>
      <w:r w:rsidRPr="00B17085">
        <w:rPr>
          <w:sz w:val="18"/>
          <w:lang w:val="tr-TR"/>
        </w:rPr>
        <w:t xml:space="preserve">&amp; </w:t>
      </w:r>
      <w:r w:rsidRPr="00B17085">
        <w:rPr>
          <w:sz w:val="18"/>
          <w:lang w:val="en-FR"/>
        </w:rPr>
        <w:t>Comp</w:t>
      </w:r>
      <w:r w:rsidRPr="00B17085">
        <w:rPr>
          <w:sz w:val="18"/>
          <w:lang w:val="tr-TR"/>
        </w:rPr>
        <w:t>d</w:t>
      </w:r>
      <w:r w:rsidRPr="00B17085">
        <w:rPr>
          <w:sz w:val="18"/>
          <w:lang w:val="en-FR"/>
        </w:rPr>
        <w:t xml:space="preserve"> 626, 360</w:t>
      </w:r>
      <w:r w:rsidRPr="00B17085">
        <w:rPr>
          <w:sz w:val="18"/>
          <w:lang w:val="tr-TR"/>
        </w:rPr>
        <w:t>.</w:t>
      </w:r>
    </w:p>
    <w:p w14:paraId="56C419B4" w14:textId="3CFD1DDB" w:rsidR="00445D69" w:rsidRDefault="00B17085" w:rsidP="00B17085">
      <w:pPr>
        <w:pStyle w:val="ListParagraph"/>
        <w:numPr>
          <w:ilvl w:val="0"/>
          <w:numId w:val="3"/>
        </w:numPr>
        <w:tabs>
          <w:tab w:val="left" w:pos="384"/>
        </w:tabs>
        <w:ind w:right="117"/>
        <w:rPr>
          <w:sz w:val="18"/>
          <w:lang w:val="en-FR"/>
        </w:rPr>
      </w:pPr>
      <w:r w:rsidRPr="00B17085">
        <w:rPr>
          <w:sz w:val="18"/>
          <w:lang w:val="en-FR"/>
        </w:rPr>
        <w:t>M Gunes</w:t>
      </w:r>
      <w:r w:rsidRPr="00B17085">
        <w:rPr>
          <w:sz w:val="18"/>
          <w:lang w:val="en-FR"/>
        </w:rPr>
        <w:t xml:space="preserve"> </w:t>
      </w:r>
      <w:r w:rsidRPr="00B17085">
        <w:rPr>
          <w:sz w:val="18"/>
          <w:lang w:val="tr-TR"/>
        </w:rPr>
        <w:t xml:space="preserve">, et. </w:t>
      </w:r>
      <w:proofErr w:type="gramStart"/>
      <w:r w:rsidRPr="00B17085">
        <w:rPr>
          <w:sz w:val="18"/>
          <w:lang w:val="tr-TR"/>
        </w:rPr>
        <w:t>al</w:t>
      </w:r>
      <w:proofErr w:type="gramEnd"/>
      <w:r w:rsidRPr="00B17085">
        <w:rPr>
          <w:sz w:val="18"/>
          <w:lang w:val="tr-TR"/>
        </w:rPr>
        <w:t xml:space="preserve">. (2014) </w:t>
      </w:r>
      <w:r w:rsidR="00445D69" w:rsidRPr="00B17085">
        <w:rPr>
          <w:sz w:val="18"/>
          <w:lang w:val="en-FR"/>
        </w:rPr>
        <w:t>An instrument for the high temperature measurement of the Seebeck coefficient and electrical resistivity</w:t>
      </w:r>
      <w:r w:rsidRPr="00B17085">
        <w:rPr>
          <w:sz w:val="18"/>
          <w:lang w:val="tr-TR"/>
        </w:rPr>
        <w:t>, MST</w:t>
      </w:r>
      <w:r w:rsidR="00445D69" w:rsidRPr="00B17085">
        <w:rPr>
          <w:sz w:val="18"/>
          <w:lang w:val="en-FR"/>
        </w:rPr>
        <w:t xml:space="preserve"> 25 (5), 055901</w:t>
      </w:r>
    </w:p>
    <w:p w14:paraId="556F28A2" w14:textId="77777777" w:rsidR="000D0B8C" w:rsidRPr="00B17085" w:rsidRDefault="000D0B8C" w:rsidP="000D0B8C">
      <w:pPr>
        <w:pStyle w:val="ListParagraph"/>
        <w:tabs>
          <w:tab w:val="left" w:pos="384"/>
        </w:tabs>
        <w:ind w:right="117" w:firstLine="0"/>
        <w:rPr>
          <w:sz w:val="18"/>
          <w:lang w:val="en-FR"/>
        </w:rPr>
      </w:pPr>
    </w:p>
    <w:p w14:paraId="3C1AE1A4" w14:textId="77777777" w:rsidR="00445D69" w:rsidRPr="00445D69" w:rsidRDefault="00445D69" w:rsidP="00445D69">
      <w:pPr>
        <w:tabs>
          <w:tab w:val="left" w:pos="384"/>
        </w:tabs>
        <w:ind w:right="117"/>
        <w:rPr>
          <w:rFonts w:ascii="Calibri" w:eastAsia="Calibri" w:hAnsi="Calibri" w:cs="Calibri"/>
          <w:vanish/>
          <w:sz w:val="18"/>
          <w:lang w:val="en-FR"/>
        </w:rPr>
      </w:pPr>
      <w:r w:rsidRPr="00445D69">
        <w:rPr>
          <w:rFonts w:ascii="Calibri" w:eastAsia="Calibri" w:hAnsi="Calibri" w:cs="Calibri"/>
          <w:vanish/>
          <w:sz w:val="18"/>
          <w:lang w:val="en-FR"/>
        </w:rPr>
        <w:t>Bottom of Form</w:t>
      </w:r>
    </w:p>
    <w:p w14:paraId="0A96542B" w14:textId="77777777" w:rsidR="00AE3E37" w:rsidRPr="008756E6" w:rsidRDefault="00AE3E37" w:rsidP="008756E6">
      <w:pPr>
        <w:tabs>
          <w:tab w:val="left" w:pos="384"/>
        </w:tabs>
        <w:ind w:right="117"/>
      </w:pPr>
    </w:p>
    <w:p w14:paraId="4427B47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243E219" w14:textId="77777777" w:rsidR="00AE3E37" w:rsidRDefault="00AE3E37">
      <w:pPr>
        <w:pStyle w:val="BodyText"/>
        <w:rPr>
          <w:rFonts w:ascii="Calibri"/>
          <w:sz w:val="20"/>
        </w:rPr>
      </w:pPr>
    </w:p>
    <w:p w14:paraId="4145A5E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C431216" wp14:editId="5419995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508E1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7F9AFE9"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51CF6D8" wp14:editId="52D7CF53">
            <wp:extent cx="468878" cy="625069"/>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68878"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07081A4A" w14:textId="77777777" w:rsidR="000D0B8C" w:rsidRPr="000D0B8C" w:rsidRDefault="000D0B8C" w:rsidP="000D0B8C">
      <w:pPr>
        <w:spacing w:before="41" w:line="154" w:lineRule="exact"/>
        <w:ind w:left="213" w:right="231"/>
        <w:jc w:val="both"/>
        <w:rPr>
          <w:rFonts w:ascii="Arial"/>
          <w:sz w:val="14"/>
        </w:rPr>
      </w:pPr>
      <w:r w:rsidRPr="000D0B8C">
        <w:rPr>
          <w:rFonts w:ascii="Arial"/>
          <w:sz w:val="14"/>
          <w:lang w:val="en-GB"/>
        </w:rPr>
        <w:t xml:space="preserve">Murat </w:t>
      </w:r>
      <w:proofErr w:type="spellStart"/>
      <w:r w:rsidRPr="000D0B8C">
        <w:rPr>
          <w:rFonts w:ascii="Arial"/>
          <w:sz w:val="14"/>
          <w:lang w:val="en-GB"/>
        </w:rPr>
        <w:t>Gunes</w:t>
      </w:r>
      <w:proofErr w:type="spellEnd"/>
      <w:r w:rsidRPr="000D0B8C">
        <w:rPr>
          <w:rFonts w:ascii="Arial"/>
          <w:sz w:val="14"/>
          <w:lang w:val="en-GB"/>
        </w:rPr>
        <w:t xml:space="preserve"> is a physicist with a Ph.D. in Micro and Nanotechnology and is a researcher in the field of instrumentation, magnetic and thermoelectric materials. Before he has completed his Marie S. Curie Individual Fellowship in the University of Paris Sud in France, he was Assist. Prof. </w:t>
      </w:r>
      <w:proofErr w:type="spellStart"/>
      <w:r w:rsidRPr="000D0B8C">
        <w:rPr>
          <w:rFonts w:ascii="Arial"/>
          <w:sz w:val="14"/>
          <w:lang w:val="en-GB"/>
        </w:rPr>
        <w:t>Dr.</w:t>
      </w:r>
      <w:proofErr w:type="spellEnd"/>
      <w:r w:rsidRPr="000D0B8C">
        <w:rPr>
          <w:rFonts w:ascii="Arial"/>
          <w:sz w:val="14"/>
          <w:lang w:val="en-GB"/>
        </w:rPr>
        <w:t xml:space="preserve"> at EBYU. </w:t>
      </w:r>
      <w:proofErr w:type="spellStart"/>
      <w:r w:rsidRPr="000D0B8C">
        <w:rPr>
          <w:rFonts w:ascii="Arial"/>
          <w:sz w:val="14"/>
          <w:lang w:val="en-GB"/>
        </w:rPr>
        <w:t>Dr.</w:t>
      </w:r>
      <w:proofErr w:type="spellEnd"/>
      <w:r w:rsidRPr="000D0B8C">
        <w:rPr>
          <w:rFonts w:ascii="Arial"/>
          <w:sz w:val="14"/>
          <w:lang w:val="en-GB"/>
        </w:rPr>
        <w:t xml:space="preserve"> </w:t>
      </w:r>
      <w:proofErr w:type="spellStart"/>
      <w:r w:rsidRPr="000D0B8C">
        <w:rPr>
          <w:rFonts w:ascii="Arial"/>
          <w:sz w:val="14"/>
          <w:lang w:val="en-GB"/>
        </w:rPr>
        <w:t>Gunes</w:t>
      </w:r>
      <w:proofErr w:type="spellEnd"/>
      <w:r w:rsidRPr="000D0B8C">
        <w:rPr>
          <w:rFonts w:ascii="Arial"/>
          <w:sz w:val="14"/>
          <w:lang w:val="en-GB"/>
        </w:rPr>
        <w:t xml:space="preserve"> served as the Secretary of ExCom of the Marie Curie Alumni Association between 2018 and 2020. He co-founded an association helping Turkey's largest hospital with the transition to renewable energy by bringing together international companies and university experts. </w:t>
      </w:r>
      <w:proofErr w:type="spellStart"/>
      <w:r w:rsidRPr="000D0B8C">
        <w:rPr>
          <w:rFonts w:ascii="Arial"/>
          <w:sz w:val="14"/>
          <w:lang w:val="en-GB"/>
        </w:rPr>
        <w:t>Dr.</w:t>
      </w:r>
      <w:proofErr w:type="spellEnd"/>
      <w:r w:rsidRPr="000D0B8C">
        <w:rPr>
          <w:rFonts w:ascii="Arial"/>
          <w:sz w:val="14"/>
          <w:lang w:val="en-GB"/>
        </w:rPr>
        <w:t xml:space="preserve"> </w:t>
      </w:r>
      <w:proofErr w:type="spellStart"/>
      <w:r w:rsidRPr="000D0B8C">
        <w:rPr>
          <w:rFonts w:ascii="Arial"/>
          <w:sz w:val="14"/>
          <w:lang w:val="en-GB"/>
        </w:rPr>
        <w:t>Gunes</w:t>
      </w:r>
      <w:proofErr w:type="spellEnd"/>
      <w:r w:rsidRPr="000D0B8C">
        <w:rPr>
          <w:rFonts w:ascii="Arial"/>
          <w:sz w:val="14"/>
          <w:lang w:val="en-GB"/>
        </w:rPr>
        <w:t xml:space="preserve"> has started a spin-off and a </w:t>
      </w:r>
      <w:proofErr w:type="spellStart"/>
      <w:r w:rsidRPr="000D0B8C">
        <w:rPr>
          <w:rFonts w:ascii="Arial"/>
          <w:sz w:val="14"/>
          <w:lang w:val="en-GB"/>
        </w:rPr>
        <w:t>startup</w:t>
      </w:r>
      <w:proofErr w:type="spellEnd"/>
      <w:r w:rsidRPr="000D0B8C">
        <w:rPr>
          <w:rFonts w:ascii="Arial"/>
          <w:sz w:val="14"/>
          <w:lang w:val="en-GB"/>
        </w:rPr>
        <w:t xml:space="preserve"> in Turkey seeking a wider societal impact of research through novel technological devices. He was one of the Experts at the Warsaw Science Diplomacy School in 2020 and an invited speaker at the World Science Forum in 2019.  </w:t>
      </w:r>
    </w:p>
    <w:p w14:paraId="30DE4B32" w14:textId="3EB37E7B" w:rsidR="00AE3E37" w:rsidRDefault="00AE3E37">
      <w:pPr>
        <w:spacing w:before="41" w:line="154" w:lineRule="exact"/>
        <w:ind w:left="213" w:right="231"/>
        <w:jc w:val="both"/>
        <w:rPr>
          <w:rFonts w:ascii="Arial"/>
          <w:sz w:val="14"/>
        </w:rPr>
      </w:pPr>
    </w:p>
    <w:p w14:paraId="6765F32A" w14:textId="78BF0E1F" w:rsidR="00AE3E37" w:rsidRPr="000D0B8C" w:rsidRDefault="00A9710C" w:rsidP="000D0B8C">
      <w:pPr>
        <w:spacing w:before="62"/>
        <w:ind w:left="4217" w:right="4235"/>
        <w:jc w:val="center"/>
        <w:rPr>
          <w:rFonts w:ascii="Arial"/>
          <w:sz w:val="14"/>
        </w:rPr>
      </w:pPr>
      <w:r>
        <w:rPr>
          <w:rFonts w:ascii="Arial"/>
          <w:sz w:val="14"/>
        </w:rPr>
        <w:t xml:space="preserve">Email: </w:t>
      </w:r>
      <w:hyperlink r:id="rId14" w:history="1">
        <w:r w:rsidR="000D0B8C" w:rsidRPr="005D6BEB">
          <w:rPr>
            <w:rStyle w:val="Hyperlink"/>
            <w:rFonts w:ascii="Arial"/>
            <w:sz w:val="14"/>
          </w:rPr>
          <w:t>mguness@gmail.com</w:t>
        </w:r>
      </w:hyperlink>
      <w:r w:rsidR="00292ED9">
        <w:rPr>
          <w:noProof/>
          <w:lang w:val="en-IN" w:eastAsia="en-IN"/>
        </w:rPr>
        <mc:AlternateContent>
          <mc:Choice Requires="wps">
            <w:drawing>
              <wp:anchor distT="0" distB="0" distL="0" distR="0" simplePos="0" relativeHeight="251637760" behindDoc="0" locked="0" layoutInCell="1" allowOverlap="1" wp14:anchorId="172D1602" wp14:editId="37B20BD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EF503" id="Line 3" o:spid="_x0000_s1026" style="position:absolute;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r w:rsidR="000D0B8C">
        <w:rPr>
          <w:rFonts w:ascii="Arial"/>
          <w:sz w:val="14"/>
        </w:rPr>
        <w:tab/>
      </w:r>
    </w:p>
    <w:p w14:paraId="74372624" w14:textId="77777777" w:rsidR="00AE3E37" w:rsidRDefault="00AE3E37">
      <w:pPr>
        <w:pStyle w:val="BodyText"/>
        <w:spacing w:before="7"/>
        <w:rPr>
          <w:rFonts w:ascii="Arial"/>
          <w:sz w:val="29"/>
        </w:rPr>
      </w:pPr>
    </w:p>
    <w:p w14:paraId="02BF3A07" w14:textId="77777777" w:rsidR="00AE3E37" w:rsidRPr="00B21A57" w:rsidRDefault="00A9710C">
      <w:pPr>
        <w:spacing w:before="39"/>
        <w:ind w:left="100"/>
        <w:rPr>
          <w:rFonts w:ascii="Minion Pro"/>
          <w:b/>
          <w:sz w:val="20"/>
        </w:rPr>
      </w:pPr>
      <w:r w:rsidRPr="00B21A57">
        <w:rPr>
          <w:rFonts w:ascii="Minion Pro"/>
          <w:b/>
          <w:sz w:val="20"/>
        </w:rPr>
        <w:t>Notes/Comments:</w:t>
      </w:r>
    </w:p>
    <w:p w14:paraId="7D21D74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64C127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26AF7B" w14:textId="77777777" w:rsidR="00AE35D3" w:rsidRDefault="00AE35D3">
      <w:r>
        <w:separator/>
      </w:r>
    </w:p>
  </w:endnote>
  <w:endnote w:type="continuationSeparator" w:id="0">
    <w:p w14:paraId="606D9BA1" w14:textId="77777777" w:rsidR="00AE35D3" w:rsidRDefault="00AE3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C7C9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752" behindDoc="1" locked="0" layoutInCell="1" allowOverlap="1" wp14:anchorId="46E1D668" wp14:editId="60EB1F7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637F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FDDF3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1D668"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27E637F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FDDF3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824" behindDoc="1" locked="0" layoutInCell="1" allowOverlap="1" wp14:anchorId="3722B6E1" wp14:editId="49CE946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031C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3268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2B6E1" id="Text Box 2" o:spid="_x0000_s1030"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787031C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3268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4896" behindDoc="1" locked="0" layoutInCell="1" allowOverlap="1" wp14:anchorId="151F2163" wp14:editId="665085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4CEB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5EB1D2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F2163" id="Text Box 1" o:spid="_x0000_s1031"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0534CEB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5EB1D2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031486" w14:textId="77777777" w:rsidR="00AE35D3" w:rsidRDefault="00AE35D3">
      <w:r>
        <w:separator/>
      </w:r>
    </w:p>
  </w:footnote>
  <w:footnote w:type="continuationSeparator" w:id="0">
    <w:p w14:paraId="4D3EC7AD" w14:textId="77777777" w:rsidR="00AE35D3" w:rsidRDefault="00AE3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5B29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2608" behindDoc="1" locked="0" layoutInCell="1" allowOverlap="1" wp14:anchorId="43243802" wp14:editId="5F858E1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88FE3" w14:textId="77777777" w:rsidR="00AE3E37" w:rsidRPr="00B5108E" w:rsidRDefault="00A9710C">
                          <w:pPr>
                            <w:spacing w:before="2" w:line="249" w:lineRule="auto"/>
                            <w:ind w:left="156" w:right="18" w:hanging="137"/>
                            <w:rPr>
                              <w:rFonts w:ascii="Arial"/>
                              <w:color w:val="FFFFFF" w:themeColor="background1"/>
                              <w:sz w:val="14"/>
                              <w:lang w:val="fr-FR"/>
                            </w:rPr>
                          </w:pPr>
                          <w:r w:rsidRPr="00B5108E">
                            <w:rPr>
                              <w:rFonts w:ascii="Arial"/>
                              <w:color w:val="FFFFFF" w:themeColor="background1"/>
                              <w:sz w:val="14"/>
                              <w:lang w:val="fr-FR"/>
                            </w:rPr>
                            <w:t xml:space="preserve">T Furuta et al., J Pai n Relief 2016, 5:3(Suppl) </w:t>
                          </w:r>
                          <w:r w:rsidR="00AE35D3">
                            <w:fldChar w:fldCharType="begin"/>
                          </w:r>
                          <w:r w:rsidR="00AE35D3" w:rsidRPr="00B5108E">
                            <w:rPr>
                              <w:lang w:val="fr-FR"/>
                            </w:rPr>
                            <w:instrText xml:space="preserve"> HYPERLINK "http://dx.doi.org/10.4172/2167-0846.C1.006" \h </w:instrText>
                          </w:r>
                          <w:r w:rsidR="00AE35D3">
                            <w:fldChar w:fldCharType="separate"/>
                          </w:r>
                          <w:r w:rsidRPr="00B5108E">
                            <w:rPr>
                              <w:rFonts w:ascii="Arial"/>
                              <w:color w:val="FFFFFF" w:themeColor="background1"/>
                              <w:sz w:val="14"/>
                              <w:lang w:val="fr-FR"/>
                            </w:rPr>
                            <w:t>http://dx.doi.org/10.4172/2167-0846.C1.006</w:t>
                          </w:r>
                          <w:r w:rsidR="00AE35D3">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243802"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3A288FE3" w14:textId="77777777" w:rsidR="00AE3E37" w:rsidRPr="00B5108E" w:rsidRDefault="00A9710C">
                    <w:pPr>
                      <w:spacing w:before="2" w:line="249" w:lineRule="auto"/>
                      <w:ind w:left="156" w:right="18" w:hanging="137"/>
                      <w:rPr>
                        <w:rFonts w:ascii="Arial"/>
                        <w:color w:val="FFFFFF" w:themeColor="background1"/>
                        <w:sz w:val="14"/>
                        <w:lang w:val="fr-FR"/>
                      </w:rPr>
                    </w:pPr>
                    <w:r w:rsidRPr="00B5108E">
                      <w:rPr>
                        <w:rFonts w:ascii="Arial"/>
                        <w:color w:val="FFFFFF" w:themeColor="background1"/>
                        <w:sz w:val="14"/>
                        <w:lang w:val="fr-FR"/>
                      </w:rPr>
                      <w:t xml:space="preserve">T Furuta et al., J Pai n Relief 2016, 5:3(Suppl) </w:t>
                    </w:r>
                    <w:r w:rsidR="00AE35D3">
                      <w:fldChar w:fldCharType="begin"/>
                    </w:r>
                    <w:r w:rsidR="00AE35D3" w:rsidRPr="00B5108E">
                      <w:rPr>
                        <w:lang w:val="fr-FR"/>
                      </w:rPr>
                      <w:instrText xml:space="preserve"> HYPERLINK "http://dx.doi.org/10.4172/2167-0846.C1.006" \h </w:instrText>
                    </w:r>
                    <w:r w:rsidR="00AE35D3">
                      <w:fldChar w:fldCharType="separate"/>
                    </w:r>
                    <w:r w:rsidRPr="00B5108E">
                      <w:rPr>
                        <w:rFonts w:ascii="Arial"/>
                        <w:color w:val="FFFFFF" w:themeColor="background1"/>
                        <w:sz w:val="14"/>
                        <w:lang w:val="fr-FR"/>
                      </w:rPr>
                      <w:t>http://dx.doi.org/10.4172/2167-0846.C1.006</w:t>
                    </w:r>
                    <w:r w:rsidR="00AE35D3">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680" behindDoc="1" locked="0" layoutInCell="1" allowOverlap="1" wp14:anchorId="21A85794" wp14:editId="5234991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C51F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21F5A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85794" id="Text Box 4" o:spid="_x0000_s1028" type="#_x0000_t202" style="position:absolute;margin-left:35pt;margin-top:48.3pt;width:515.95pt;height:40.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3C3C51F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21F5A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B35E4"/>
    <w:multiLevelType w:val="hybridMultilevel"/>
    <w:tmpl w:val="F3A8F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D0B8C"/>
    <w:rsid w:val="000E2911"/>
    <w:rsid w:val="001263DF"/>
    <w:rsid w:val="002455EC"/>
    <w:rsid w:val="00292ED9"/>
    <w:rsid w:val="00404E5B"/>
    <w:rsid w:val="00414F7B"/>
    <w:rsid w:val="004355DC"/>
    <w:rsid w:val="00445D69"/>
    <w:rsid w:val="004749B4"/>
    <w:rsid w:val="00494130"/>
    <w:rsid w:val="004F3523"/>
    <w:rsid w:val="005973B9"/>
    <w:rsid w:val="005B3A56"/>
    <w:rsid w:val="006060CE"/>
    <w:rsid w:val="0063497F"/>
    <w:rsid w:val="00873DF0"/>
    <w:rsid w:val="008756E6"/>
    <w:rsid w:val="008A08B6"/>
    <w:rsid w:val="009B2D44"/>
    <w:rsid w:val="00A07E82"/>
    <w:rsid w:val="00A9710C"/>
    <w:rsid w:val="00AE35D3"/>
    <w:rsid w:val="00AE3E37"/>
    <w:rsid w:val="00B17085"/>
    <w:rsid w:val="00B21A57"/>
    <w:rsid w:val="00B5108E"/>
    <w:rsid w:val="00C33602"/>
    <w:rsid w:val="00CD6F55"/>
    <w:rsid w:val="00DE3104"/>
    <w:rsid w:val="00E26B10"/>
    <w:rsid w:val="00E7203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4ACB5"/>
  <w15:docId w15:val="{6DB4DF12-30E2-CA41-829A-2903A626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45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39411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0879714">
      <w:bodyDiv w:val="1"/>
      <w:marLeft w:val="0"/>
      <w:marRight w:val="0"/>
      <w:marTop w:val="0"/>
      <w:marBottom w:val="0"/>
      <w:divBdr>
        <w:top w:val="none" w:sz="0" w:space="0" w:color="auto"/>
        <w:left w:val="none" w:sz="0" w:space="0" w:color="auto"/>
        <w:bottom w:val="none" w:sz="0" w:space="0" w:color="auto"/>
        <w:right w:val="none" w:sz="0" w:space="0" w:color="auto"/>
      </w:divBdr>
      <w:divsChild>
        <w:div w:id="451898397">
          <w:marLeft w:val="0"/>
          <w:marRight w:val="0"/>
          <w:marTop w:val="0"/>
          <w:marBottom w:val="0"/>
          <w:divBdr>
            <w:top w:val="none" w:sz="0" w:space="0" w:color="auto"/>
            <w:left w:val="none" w:sz="0" w:space="0" w:color="auto"/>
            <w:bottom w:val="none" w:sz="0" w:space="0" w:color="auto"/>
            <w:right w:val="none" w:sz="0" w:space="0" w:color="auto"/>
          </w:divBdr>
          <w:divsChild>
            <w:div w:id="1753158364">
              <w:marLeft w:val="0"/>
              <w:marRight w:val="0"/>
              <w:marTop w:val="0"/>
              <w:marBottom w:val="0"/>
              <w:divBdr>
                <w:top w:val="none" w:sz="0" w:space="0" w:color="auto"/>
                <w:left w:val="none" w:sz="0" w:space="0" w:color="auto"/>
                <w:bottom w:val="none" w:sz="0" w:space="0" w:color="auto"/>
                <w:right w:val="none" w:sz="0" w:space="0" w:color="auto"/>
              </w:divBdr>
              <w:divsChild>
                <w:div w:id="872763951">
                  <w:marLeft w:val="0"/>
                  <w:marRight w:val="0"/>
                  <w:marTop w:val="0"/>
                  <w:marBottom w:val="0"/>
                  <w:divBdr>
                    <w:top w:val="none" w:sz="0" w:space="0" w:color="auto"/>
                    <w:left w:val="none" w:sz="0" w:space="0" w:color="auto"/>
                    <w:bottom w:val="none" w:sz="0" w:space="0" w:color="auto"/>
                    <w:right w:val="none" w:sz="0" w:space="0" w:color="auto"/>
                  </w:divBdr>
                  <w:divsChild>
                    <w:div w:id="1790927843">
                      <w:marLeft w:val="0"/>
                      <w:marRight w:val="0"/>
                      <w:marTop w:val="0"/>
                      <w:marBottom w:val="0"/>
                      <w:divBdr>
                        <w:top w:val="none" w:sz="0" w:space="0" w:color="auto"/>
                        <w:left w:val="none" w:sz="0" w:space="0" w:color="auto"/>
                        <w:bottom w:val="none" w:sz="0" w:space="0" w:color="auto"/>
                        <w:right w:val="none" w:sz="0" w:space="0" w:color="auto"/>
                      </w:divBdr>
                      <w:divsChild>
                        <w:div w:id="475267301">
                          <w:marLeft w:val="0"/>
                          <w:marRight w:val="5250"/>
                          <w:marTop w:val="0"/>
                          <w:marBottom w:val="0"/>
                          <w:divBdr>
                            <w:top w:val="none" w:sz="0" w:space="0" w:color="auto"/>
                            <w:left w:val="none" w:sz="0" w:space="0" w:color="auto"/>
                            <w:bottom w:val="none" w:sz="0" w:space="0" w:color="auto"/>
                            <w:right w:val="none" w:sz="0" w:space="0" w:color="auto"/>
                          </w:divBdr>
                          <w:divsChild>
                            <w:div w:id="1423182439">
                              <w:marLeft w:val="0"/>
                              <w:marRight w:val="0"/>
                              <w:marTop w:val="0"/>
                              <w:marBottom w:val="0"/>
                              <w:divBdr>
                                <w:top w:val="none" w:sz="0" w:space="0" w:color="auto"/>
                                <w:left w:val="none" w:sz="0" w:space="0" w:color="auto"/>
                                <w:bottom w:val="none" w:sz="0" w:space="0" w:color="auto"/>
                                <w:right w:val="none" w:sz="0" w:space="0" w:color="auto"/>
                              </w:divBdr>
                              <w:divsChild>
                                <w:div w:id="1546866866">
                                  <w:marLeft w:val="0"/>
                                  <w:marRight w:val="0"/>
                                  <w:marTop w:val="0"/>
                                  <w:marBottom w:val="0"/>
                                  <w:divBdr>
                                    <w:top w:val="none" w:sz="0" w:space="0" w:color="auto"/>
                                    <w:left w:val="none" w:sz="0" w:space="0" w:color="auto"/>
                                    <w:bottom w:val="none" w:sz="0" w:space="0" w:color="auto"/>
                                    <w:right w:val="none" w:sz="0" w:space="0" w:color="auto"/>
                                  </w:divBdr>
                                </w:div>
                                <w:div w:id="1771657504">
                                  <w:marLeft w:val="0"/>
                                  <w:marRight w:val="0"/>
                                  <w:marTop w:val="0"/>
                                  <w:marBottom w:val="0"/>
                                  <w:divBdr>
                                    <w:top w:val="none" w:sz="0" w:space="0" w:color="auto"/>
                                    <w:left w:val="none" w:sz="0" w:space="0" w:color="auto"/>
                                    <w:bottom w:val="none" w:sz="0" w:space="0" w:color="auto"/>
                                    <w:right w:val="none" w:sz="0" w:space="0" w:color="auto"/>
                                  </w:divBdr>
                                  <w:divsChild>
                                    <w:div w:id="1323924571">
                                      <w:marLeft w:val="0"/>
                                      <w:marRight w:val="0"/>
                                      <w:marTop w:val="0"/>
                                      <w:marBottom w:val="0"/>
                                      <w:divBdr>
                                        <w:top w:val="none" w:sz="0" w:space="0" w:color="auto"/>
                                        <w:left w:val="none" w:sz="0" w:space="0" w:color="auto"/>
                                        <w:bottom w:val="none" w:sz="0" w:space="0" w:color="auto"/>
                                        <w:right w:val="none" w:sz="0" w:space="0" w:color="auto"/>
                                      </w:divBdr>
                                    </w:div>
                                    <w:div w:id="1196965341">
                                      <w:marLeft w:val="0"/>
                                      <w:marRight w:val="0"/>
                                      <w:marTop w:val="0"/>
                                      <w:marBottom w:val="0"/>
                                      <w:divBdr>
                                        <w:top w:val="none" w:sz="0" w:space="0" w:color="auto"/>
                                        <w:left w:val="none" w:sz="0" w:space="0" w:color="auto"/>
                                        <w:bottom w:val="none" w:sz="0" w:space="0" w:color="auto"/>
                                        <w:right w:val="none" w:sz="0" w:space="0" w:color="auto"/>
                                      </w:divBdr>
                                      <w:divsChild>
                                        <w:div w:id="1508398372">
                                          <w:marLeft w:val="0"/>
                                          <w:marRight w:val="0"/>
                                          <w:marTop w:val="0"/>
                                          <w:marBottom w:val="0"/>
                                          <w:divBdr>
                                            <w:top w:val="none" w:sz="0" w:space="0" w:color="auto"/>
                                            <w:left w:val="none" w:sz="0" w:space="0" w:color="auto"/>
                                            <w:bottom w:val="none" w:sz="0" w:space="0" w:color="auto"/>
                                            <w:right w:val="none" w:sz="0" w:space="0" w:color="auto"/>
                                          </w:divBdr>
                                        </w:div>
                                        <w:div w:id="152485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3490877">
      <w:bodyDiv w:val="1"/>
      <w:marLeft w:val="0"/>
      <w:marRight w:val="0"/>
      <w:marTop w:val="0"/>
      <w:marBottom w:val="0"/>
      <w:divBdr>
        <w:top w:val="none" w:sz="0" w:space="0" w:color="auto"/>
        <w:left w:val="none" w:sz="0" w:space="0" w:color="auto"/>
        <w:bottom w:val="none" w:sz="0" w:space="0" w:color="auto"/>
        <w:right w:val="none" w:sz="0" w:space="0" w:color="auto"/>
      </w:divBdr>
    </w:div>
    <w:div w:id="101353518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75202511">
      <w:bodyDiv w:val="1"/>
      <w:marLeft w:val="0"/>
      <w:marRight w:val="0"/>
      <w:marTop w:val="0"/>
      <w:marBottom w:val="0"/>
      <w:divBdr>
        <w:top w:val="none" w:sz="0" w:space="0" w:color="auto"/>
        <w:left w:val="none" w:sz="0" w:space="0" w:color="auto"/>
        <w:bottom w:val="none" w:sz="0" w:space="0" w:color="auto"/>
        <w:right w:val="none" w:sz="0" w:space="0" w:color="auto"/>
      </w:divBdr>
    </w:div>
    <w:div w:id="1994722579">
      <w:bodyDiv w:val="1"/>
      <w:marLeft w:val="0"/>
      <w:marRight w:val="0"/>
      <w:marTop w:val="0"/>
      <w:marBottom w:val="0"/>
      <w:divBdr>
        <w:top w:val="none" w:sz="0" w:space="0" w:color="auto"/>
        <w:left w:val="none" w:sz="0" w:space="0" w:color="auto"/>
        <w:bottom w:val="none" w:sz="0" w:space="0" w:color="auto"/>
        <w:right w:val="none" w:sz="0" w:space="0" w:color="auto"/>
      </w:divBdr>
    </w:div>
    <w:div w:id="2083869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scholar.google.co.uk/scholar?oi=bibs&amp;hl=en&amp;cites=664797158966583797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mgunes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2021-03-19T11:37:00Z</dcterms:created>
  <dcterms:modified xsi:type="dcterms:W3CDTF">2021-03-19T11:37:00Z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