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16FC" w:rsidRPr="004916FC" w:rsidRDefault="004916FC" w:rsidP="004916FC">
      <w:pPr>
        <w:autoSpaceDE w:val="0"/>
        <w:autoSpaceDN w:val="0"/>
        <w:adjustRightInd w:val="0"/>
        <w:rPr>
          <w:rFonts w:ascii="Minion Pro" w:hAnsi="Minion Pro"/>
          <w:b/>
          <w:color w:val="4F81BD" w:themeColor="accent1"/>
          <w:sz w:val="36"/>
          <w:szCs w:val="36"/>
          <w:lang w:val="en-GB"/>
        </w:rPr>
      </w:pPr>
      <w:r w:rsidRPr="004916FC">
        <w:rPr>
          <w:rFonts w:ascii="Minion Pro" w:hAnsi="Minion Pro"/>
          <w:b/>
          <w:color w:val="4F81BD" w:themeColor="accent1"/>
          <w:sz w:val="36"/>
          <w:szCs w:val="36"/>
          <w:lang w:eastAsia="fr-FR"/>
        </w:rPr>
        <w:t xml:space="preserve">Developing </w:t>
      </w:r>
      <w:proofErr w:type="spellStart"/>
      <w:r w:rsidRPr="004916FC">
        <w:rPr>
          <w:rFonts w:ascii="Minion Pro" w:hAnsi="Minion Pro"/>
          <w:b/>
          <w:color w:val="4F81BD" w:themeColor="accent1"/>
          <w:sz w:val="36"/>
          <w:szCs w:val="36"/>
          <w:lang w:eastAsia="fr-FR"/>
        </w:rPr>
        <w:t>Bioorthogonal</w:t>
      </w:r>
      <w:proofErr w:type="spellEnd"/>
      <w:r w:rsidRPr="004916FC">
        <w:rPr>
          <w:rFonts w:ascii="Minion Pro" w:hAnsi="Minion Pro"/>
          <w:b/>
          <w:color w:val="4F81BD" w:themeColor="accent1"/>
          <w:sz w:val="36"/>
          <w:szCs w:val="36"/>
          <w:lang w:eastAsia="fr-FR"/>
        </w:rPr>
        <w:t xml:space="preserve"> Smart Polymers for Cancer Therapy</w:t>
      </w:r>
    </w:p>
    <w:p w:rsidR="004916FC" w:rsidRPr="004916FC" w:rsidRDefault="004916FC" w:rsidP="004916FC">
      <w:pPr>
        <w:pStyle w:val="BodyText"/>
        <w:rPr>
          <w:rFonts w:ascii="Arial"/>
        </w:rPr>
      </w:pPr>
      <w:proofErr w:type="spellStart"/>
      <w:r w:rsidRPr="004916FC">
        <w:rPr>
          <w:rFonts w:ascii="Arial"/>
        </w:rPr>
        <w:t>Gayathri</w:t>
      </w:r>
      <w:proofErr w:type="spellEnd"/>
      <w:r w:rsidRPr="004916FC">
        <w:rPr>
          <w:rFonts w:ascii="Arial"/>
        </w:rPr>
        <w:t xml:space="preserve"> R. Ediriweera</w:t>
      </w:r>
      <w:r w:rsidRPr="004041A3">
        <w:rPr>
          <w:rFonts w:ascii="Arial"/>
          <w:vertAlign w:val="superscript"/>
        </w:rPr>
        <w:t>1</w:t>
      </w:r>
      <w:proofErr w:type="gramStart"/>
      <w:r w:rsidRPr="004041A3">
        <w:rPr>
          <w:rFonts w:ascii="Arial"/>
          <w:vertAlign w:val="superscript"/>
        </w:rPr>
        <w:t>,2</w:t>
      </w:r>
      <w:proofErr w:type="gramEnd"/>
      <w:r w:rsidR="0062723A">
        <w:rPr>
          <w:rFonts w:ascii="Arial"/>
        </w:rPr>
        <w:t xml:space="preserve">, </w:t>
      </w:r>
      <w:r w:rsidRPr="004916FC">
        <w:rPr>
          <w:rFonts w:ascii="Arial"/>
        </w:rPr>
        <w:t>Zachary Houston</w:t>
      </w:r>
      <w:r w:rsidRPr="004041A3">
        <w:rPr>
          <w:rFonts w:ascii="Arial"/>
          <w:vertAlign w:val="superscript"/>
        </w:rPr>
        <w:t>1,2</w:t>
      </w:r>
      <w:r w:rsidRPr="004916FC">
        <w:rPr>
          <w:rFonts w:ascii="Arial"/>
        </w:rPr>
        <w:t>, Craig A. Bell</w:t>
      </w:r>
      <w:r w:rsidRPr="004041A3">
        <w:rPr>
          <w:rFonts w:ascii="Arial"/>
          <w:vertAlign w:val="superscript"/>
        </w:rPr>
        <w:t>1,2</w:t>
      </w:r>
      <w:r w:rsidRPr="004916FC">
        <w:rPr>
          <w:rFonts w:ascii="Arial"/>
        </w:rPr>
        <w:t>, Kristofer J. Thurecht</w:t>
      </w:r>
      <w:r w:rsidRPr="004041A3">
        <w:rPr>
          <w:rFonts w:ascii="Arial"/>
          <w:vertAlign w:val="superscript"/>
        </w:rPr>
        <w:t>1,2</w:t>
      </w:r>
    </w:p>
    <w:p w:rsidR="004916FC" w:rsidRPr="004916FC" w:rsidRDefault="004916FC" w:rsidP="004916FC">
      <w:pPr>
        <w:pStyle w:val="BodyText"/>
        <w:rPr>
          <w:rFonts w:ascii="Arial"/>
        </w:rPr>
      </w:pPr>
    </w:p>
    <w:p w:rsidR="004916FC" w:rsidRPr="004916FC" w:rsidRDefault="004916FC" w:rsidP="004041A3">
      <w:pPr>
        <w:pStyle w:val="BodyText"/>
        <w:jc w:val="both"/>
        <w:rPr>
          <w:rFonts w:ascii="Arial"/>
        </w:rPr>
      </w:pPr>
      <w:r w:rsidRPr="004041A3">
        <w:rPr>
          <w:rFonts w:ascii="Arial"/>
          <w:vertAlign w:val="superscript"/>
        </w:rPr>
        <w:t>1</w:t>
      </w:r>
      <w:r w:rsidRPr="004916FC">
        <w:rPr>
          <w:rFonts w:ascii="Arial"/>
        </w:rPr>
        <w:t xml:space="preserve">Australian Institute of </w:t>
      </w:r>
      <w:proofErr w:type="gramStart"/>
      <w:r w:rsidRPr="004916FC">
        <w:rPr>
          <w:rFonts w:ascii="Arial"/>
        </w:rPr>
        <w:t>Bioengineering and Nanotechnology</w:t>
      </w:r>
      <w:proofErr w:type="gramEnd"/>
      <w:r w:rsidRPr="004916FC">
        <w:rPr>
          <w:rFonts w:ascii="Arial"/>
        </w:rPr>
        <w:t xml:space="preserve"> and Centre for Advanced Imaging, </w:t>
      </w:r>
    </w:p>
    <w:p w:rsidR="004916FC" w:rsidRPr="004916FC" w:rsidRDefault="004916FC" w:rsidP="004041A3">
      <w:pPr>
        <w:pStyle w:val="BodyText"/>
        <w:jc w:val="both"/>
        <w:rPr>
          <w:rFonts w:ascii="Arial"/>
        </w:rPr>
      </w:pPr>
      <w:r w:rsidRPr="004916FC">
        <w:rPr>
          <w:rFonts w:ascii="Arial"/>
        </w:rPr>
        <w:t>University of Queensland, Brisbane, 4072, Australia</w:t>
      </w:r>
    </w:p>
    <w:p w:rsidR="00AE3E37" w:rsidRDefault="004916FC" w:rsidP="004041A3">
      <w:pPr>
        <w:pStyle w:val="BodyText"/>
        <w:jc w:val="both"/>
        <w:rPr>
          <w:rFonts w:ascii="Arial"/>
          <w:sz w:val="20"/>
        </w:rPr>
      </w:pPr>
      <w:r w:rsidRPr="004041A3">
        <w:rPr>
          <w:rFonts w:ascii="Arial"/>
          <w:vertAlign w:val="superscript"/>
        </w:rPr>
        <w:t>2</w:t>
      </w:r>
      <w:r w:rsidRPr="004916FC">
        <w:rPr>
          <w:rFonts w:ascii="Arial"/>
        </w:rPr>
        <w:t>ARC Centre of Excellence in Convergent Bio-Nano Science and Technology</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4041A3" w:rsidRPr="004041A3" w:rsidRDefault="004041A3" w:rsidP="004041A3">
      <w:pPr>
        <w:spacing w:before="90" w:line="281" w:lineRule="auto"/>
        <w:ind w:left="102"/>
        <w:jc w:val="both"/>
        <w:rPr>
          <w:sz w:val="18"/>
          <w:szCs w:val="18"/>
        </w:rPr>
      </w:pPr>
      <w:r w:rsidRPr="004041A3">
        <w:rPr>
          <w:sz w:val="18"/>
          <w:szCs w:val="18"/>
        </w:rPr>
        <w:t xml:space="preserve">The selective delivery and effective </w:t>
      </w:r>
      <w:proofErr w:type="spellStart"/>
      <w:r w:rsidRPr="004041A3">
        <w:rPr>
          <w:sz w:val="18"/>
          <w:szCs w:val="18"/>
        </w:rPr>
        <w:t>localisation</w:t>
      </w:r>
      <w:proofErr w:type="spellEnd"/>
      <w:r w:rsidRPr="004041A3">
        <w:rPr>
          <w:sz w:val="18"/>
          <w:szCs w:val="18"/>
        </w:rPr>
        <w:t xml:space="preserve"> of drugs is crucial in cancer therapy. </w:t>
      </w:r>
      <w:proofErr w:type="gramStart"/>
      <w:r w:rsidRPr="004041A3">
        <w:rPr>
          <w:sz w:val="18"/>
          <w:szCs w:val="18"/>
        </w:rPr>
        <w:t xml:space="preserve">The efficacy of existing therapeutic systems is limited by the challenges such as, determining the actual drug release profile </w:t>
      </w:r>
      <w:r w:rsidRPr="004041A3">
        <w:rPr>
          <w:i/>
          <w:sz w:val="18"/>
          <w:szCs w:val="18"/>
        </w:rPr>
        <w:t>in vivo</w:t>
      </w:r>
      <w:r w:rsidRPr="004041A3">
        <w:rPr>
          <w:sz w:val="18"/>
          <w:szCs w:val="18"/>
        </w:rPr>
        <w:t xml:space="preserve"> as well as reducing side-effects for increased standard of care.</w:t>
      </w:r>
      <w:r w:rsidRPr="004041A3">
        <w:rPr>
          <w:sz w:val="18"/>
          <w:szCs w:val="18"/>
          <w:vertAlign w:val="superscript"/>
        </w:rPr>
        <w:t>1</w:t>
      </w:r>
      <w:r w:rsidRPr="004041A3">
        <w:rPr>
          <w:sz w:val="18"/>
          <w:szCs w:val="18"/>
        </w:rPr>
        <w:t xml:space="preserve"> The use of </w:t>
      </w:r>
      <w:proofErr w:type="spellStart"/>
      <w:r w:rsidRPr="004041A3">
        <w:rPr>
          <w:sz w:val="18"/>
          <w:szCs w:val="18"/>
        </w:rPr>
        <w:t>bioorthogonal</w:t>
      </w:r>
      <w:proofErr w:type="spellEnd"/>
      <w:r w:rsidRPr="004041A3">
        <w:rPr>
          <w:sz w:val="18"/>
          <w:szCs w:val="18"/>
        </w:rPr>
        <w:t xml:space="preserve"> chemistry is a versatile and promising tool to overcome such drawbacks, as it can be tailored to develop </w:t>
      </w:r>
      <w:proofErr w:type="spellStart"/>
      <w:r w:rsidRPr="004041A3">
        <w:rPr>
          <w:sz w:val="18"/>
          <w:szCs w:val="18"/>
        </w:rPr>
        <w:t>theranostic</w:t>
      </w:r>
      <w:proofErr w:type="spellEnd"/>
      <w:r w:rsidRPr="004041A3">
        <w:rPr>
          <w:sz w:val="18"/>
          <w:szCs w:val="18"/>
        </w:rPr>
        <w:t xml:space="preserve"> systems where the drug release stimulus is controlled only by the addition of an exogenous molecule, providing more direct control over </w:t>
      </w:r>
      <w:r w:rsidRPr="004041A3">
        <w:rPr>
          <w:i/>
          <w:sz w:val="18"/>
          <w:szCs w:val="18"/>
        </w:rPr>
        <w:t>in vivo</w:t>
      </w:r>
      <w:r w:rsidRPr="004041A3">
        <w:rPr>
          <w:sz w:val="18"/>
          <w:szCs w:val="18"/>
        </w:rPr>
        <w:t xml:space="preserve"> drug release and </w:t>
      </w:r>
      <w:proofErr w:type="spellStart"/>
      <w:r w:rsidRPr="004041A3">
        <w:rPr>
          <w:sz w:val="18"/>
          <w:szCs w:val="18"/>
        </w:rPr>
        <w:t>minimising</w:t>
      </w:r>
      <w:proofErr w:type="spellEnd"/>
      <w:r w:rsidRPr="004041A3">
        <w:rPr>
          <w:sz w:val="18"/>
          <w:szCs w:val="18"/>
        </w:rPr>
        <w:t xml:space="preserve"> toxic side-effects.</w:t>
      </w:r>
      <w:r w:rsidRPr="004041A3">
        <w:rPr>
          <w:sz w:val="18"/>
          <w:szCs w:val="18"/>
          <w:vertAlign w:val="superscript"/>
        </w:rPr>
        <w:t>2</w:t>
      </w:r>
      <w:r w:rsidRPr="004041A3">
        <w:rPr>
          <w:sz w:val="18"/>
          <w:szCs w:val="18"/>
        </w:rPr>
        <w:t xml:space="preserve"> This can create more effective drug delivery systems with better therapeutic design.</w:t>
      </w:r>
      <w:proofErr w:type="gramEnd"/>
      <w:r w:rsidRPr="004041A3">
        <w:rPr>
          <w:sz w:val="18"/>
          <w:szCs w:val="18"/>
        </w:rPr>
        <w:t xml:space="preserve"> In this work, a </w:t>
      </w:r>
      <w:r w:rsidRPr="007E26A5">
        <w:rPr>
          <w:sz w:val="18"/>
          <w:szCs w:val="18"/>
          <w:vertAlign w:val="superscript"/>
        </w:rPr>
        <w:t>64</w:t>
      </w:r>
      <w:r w:rsidRPr="004041A3">
        <w:rPr>
          <w:sz w:val="18"/>
          <w:szCs w:val="18"/>
        </w:rPr>
        <w:t xml:space="preserve">Cu </w:t>
      </w:r>
      <w:proofErr w:type="spellStart"/>
      <w:r w:rsidRPr="004041A3">
        <w:rPr>
          <w:sz w:val="18"/>
          <w:szCs w:val="18"/>
        </w:rPr>
        <w:t>radiolabelled</w:t>
      </w:r>
      <w:proofErr w:type="spellEnd"/>
      <w:r w:rsidRPr="004041A3">
        <w:rPr>
          <w:sz w:val="18"/>
          <w:szCs w:val="18"/>
        </w:rPr>
        <w:t xml:space="preserve"> </w:t>
      </w:r>
      <w:proofErr w:type="spellStart"/>
      <w:r w:rsidRPr="004041A3">
        <w:rPr>
          <w:sz w:val="18"/>
          <w:szCs w:val="18"/>
        </w:rPr>
        <w:t>tetrazine</w:t>
      </w:r>
      <w:proofErr w:type="spellEnd"/>
      <w:r w:rsidRPr="004041A3">
        <w:rPr>
          <w:sz w:val="18"/>
          <w:szCs w:val="18"/>
        </w:rPr>
        <w:t xml:space="preserve"> probe (</w:t>
      </w:r>
      <w:r w:rsidR="008A7E8A">
        <w:rPr>
          <w:sz w:val="18"/>
          <w:szCs w:val="18"/>
        </w:rPr>
        <w:t>tetrazine-PEG</w:t>
      </w:r>
      <w:r w:rsidR="008A7E8A" w:rsidRPr="00BA5D21">
        <w:rPr>
          <w:sz w:val="18"/>
          <w:szCs w:val="18"/>
          <w:vertAlign w:val="subscript"/>
        </w:rPr>
        <w:t>4</w:t>
      </w:r>
      <w:r w:rsidR="008A7E8A">
        <w:rPr>
          <w:sz w:val="18"/>
          <w:szCs w:val="18"/>
        </w:rPr>
        <w:t xml:space="preserve">-NOTA) was </w:t>
      </w:r>
      <w:proofErr w:type="spellStart"/>
      <w:r w:rsidR="008A7E8A">
        <w:rPr>
          <w:sz w:val="18"/>
          <w:szCs w:val="18"/>
        </w:rPr>
        <w:t>synthe</w:t>
      </w:r>
      <w:r w:rsidRPr="004041A3">
        <w:rPr>
          <w:sz w:val="18"/>
          <w:szCs w:val="18"/>
        </w:rPr>
        <w:t>sised</w:t>
      </w:r>
      <w:proofErr w:type="spellEnd"/>
      <w:r w:rsidRPr="004041A3">
        <w:rPr>
          <w:sz w:val="18"/>
          <w:szCs w:val="18"/>
        </w:rPr>
        <w:t>, that showed rapid pharmacokinetics in healthy mice when t</w:t>
      </w:r>
      <w:r w:rsidR="00287F32">
        <w:rPr>
          <w:sz w:val="18"/>
          <w:szCs w:val="18"/>
        </w:rPr>
        <w:t>ested in positron emis</w:t>
      </w:r>
      <w:r w:rsidRPr="004041A3">
        <w:rPr>
          <w:sz w:val="18"/>
          <w:szCs w:val="18"/>
        </w:rPr>
        <w:t>sion tomography/computed tomography (PET/CT). C</w:t>
      </w:r>
      <w:r w:rsidR="00287F32">
        <w:rPr>
          <w:sz w:val="18"/>
          <w:szCs w:val="18"/>
        </w:rPr>
        <w:t xml:space="preserve">ritically, almost all of the </w:t>
      </w:r>
      <w:proofErr w:type="spellStart"/>
      <w:r w:rsidR="00287F32">
        <w:rPr>
          <w:sz w:val="18"/>
          <w:szCs w:val="18"/>
        </w:rPr>
        <w:t>te</w:t>
      </w:r>
      <w:r w:rsidRPr="004041A3">
        <w:rPr>
          <w:sz w:val="18"/>
          <w:szCs w:val="18"/>
        </w:rPr>
        <w:t>trazine</w:t>
      </w:r>
      <w:proofErr w:type="spellEnd"/>
      <w:r w:rsidRPr="004041A3">
        <w:rPr>
          <w:sz w:val="18"/>
          <w:szCs w:val="18"/>
        </w:rPr>
        <w:t xml:space="preserve"> </w:t>
      </w:r>
      <w:proofErr w:type="spellStart"/>
      <w:r w:rsidRPr="004041A3">
        <w:rPr>
          <w:sz w:val="18"/>
          <w:szCs w:val="18"/>
        </w:rPr>
        <w:t>radiol</w:t>
      </w:r>
      <w:r w:rsidR="00287F32">
        <w:rPr>
          <w:sz w:val="18"/>
          <w:szCs w:val="18"/>
        </w:rPr>
        <w:t>igand</w:t>
      </w:r>
      <w:proofErr w:type="spellEnd"/>
      <w:r w:rsidR="00287F32">
        <w:rPr>
          <w:sz w:val="18"/>
          <w:szCs w:val="18"/>
        </w:rPr>
        <w:t xml:space="preserve"> </w:t>
      </w:r>
      <w:proofErr w:type="gramStart"/>
      <w:r w:rsidR="00287F32">
        <w:rPr>
          <w:sz w:val="18"/>
          <w:szCs w:val="18"/>
        </w:rPr>
        <w:t>was cleared</w:t>
      </w:r>
      <w:proofErr w:type="gramEnd"/>
      <w:r w:rsidR="00287F32">
        <w:rPr>
          <w:sz w:val="18"/>
          <w:szCs w:val="18"/>
        </w:rPr>
        <w:t xml:space="preserve"> into the blad</w:t>
      </w:r>
      <w:r w:rsidRPr="004041A3">
        <w:rPr>
          <w:sz w:val="18"/>
          <w:szCs w:val="18"/>
        </w:rPr>
        <w:t>der withi</w:t>
      </w:r>
      <w:r w:rsidR="00287F32">
        <w:rPr>
          <w:sz w:val="18"/>
          <w:szCs w:val="18"/>
        </w:rPr>
        <w:t xml:space="preserve">n 20 minutes. A PEGylated </w:t>
      </w:r>
      <w:proofErr w:type="spellStart"/>
      <w:r w:rsidR="00287F32">
        <w:rPr>
          <w:sz w:val="18"/>
          <w:szCs w:val="18"/>
        </w:rPr>
        <w:t>hyper</w:t>
      </w:r>
      <w:r w:rsidRPr="004041A3">
        <w:rPr>
          <w:sz w:val="18"/>
          <w:szCs w:val="18"/>
        </w:rPr>
        <w:t>branched</w:t>
      </w:r>
      <w:proofErr w:type="spellEnd"/>
      <w:r w:rsidRPr="004041A3">
        <w:rPr>
          <w:sz w:val="18"/>
          <w:szCs w:val="18"/>
        </w:rPr>
        <w:t xml:space="preserve"> po</w:t>
      </w:r>
      <w:r w:rsidR="00287F32">
        <w:rPr>
          <w:sz w:val="18"/>
          <w:szCs w:val="18"/>
        </w:rPr>
        <w:t>lymer tagged with bispecific an</w:t>
      </w:r>
      <w:r w:rsidRPr="004041A3">
        <w:rPr>
          <w:sz w:val="18"/>
          <w:szCs w:val="18"/>
        </w:rPr>
        <w:t xml:space="preserve">tibodies as targeting ligands and </w:t>
      </w:r>
      <w:r w:rsidRPr="00287F32">
        <w:rPr>
          <w:i/>
          <w:sz w:val="18"/>
          <w:szCs w:val="18"/>
        </w:rPr>
        <w:t>trans</w:t>
      </w:r>
      <w:r w:rsidRPr="004041A3">
        <w:rPr>
          <w:sz w:val="18"/>
          <w:szCs w:val="18"/>
        </w:rPr>
        <w:t>-</w:t>
      </w:r>
      <w:proofErr w:type="spellStart"/>
      <w:r w:rsidRPr="004041A3">
        <w:rPr>
          <w:sz w:val="18"/>
          <w:szCs w:val="18"/>
        </w:rPr>
        <w:t>cyclooctene</w:t>
      </w:r>
      <w:proofErr w:type="spellEnd"/>
      <w:r w:rsidRPr="004041A3">
        <w:rPr>
          <w:sz w:val="18"/>
          <w:szCs w:val="18"/>
        </w:rPr>
        <w:t xml:space="preserve"> bearing the anti-cancer drug doxorubicin was </w:t>
      </w:r>
      <w:proofErr w:type="spellStart"/>
      <w:r w:rsidRPr="004041A3">
        <w:rPr>
          <w:sz w:val="18"/>
          <w:szCs w:val="18"/>
        </w:rPr>
        <w:t>synthesised</w:t>
      </w:r>
      <w:proofErr w:type="spellEnd"/>
      <w:r w:rsidRPr="004041A3">
        <w:rPr>
          <w:sz w:val="18"/>
          <w:szCs w:val="18"/>
        </w:rPr>
        <w:t xml:space="preserve">. The </w:t>
      </w:r>
      <w:r w:rsidRPr="00287F32">
        <w:rPr>
          <w:i/>
          <w:sz w:val="18"/>
          <w:szCs w:val="18"/>
        </w:rPr>
        <w:t>in vitro</w:t>
      </w:r>
      <w:r w:rsidRPr="004041A3">
        <w:rPr>
          <w:sz w:val="18"/>
          <w:szCs w:val="18"/>
        </w:rPr>
        <w:t xml:space="preserve"> reaction of this conjugate and </w:t>
      </w:r>
      <w:proofErr w:type="spellStart"/>
      <w:r w:rsidRPr="004041A3">
        <w:rPr>
          <w:sz w:val="18"/>
          <w:szCs w:val="18"/>
        </w:rPr>
        <w:t>tetrazine</w:t>
      </w:r>
      <w:proofErr w:type="spellEnd"/>
      <w:r w:rsidRPr="004041A3">
        <w:rPr>
          <w:sz w:val="18"/>
          <w:szCs w:val="18"/>
        </w:rPr>
        <w:t xml:space="preserve"> showed rapid and instantaneous doxorubicin release when tested in HPLC. A preliminary </w:t>
      </w:r>
      <w:r w:rsidRPr="00287F32">
        <w:rPr>
          <w:i/>
          <w:sz w:val="18"/>
          <w:szCs w:val="18"/>
        </w:rPr>
        <w:t>in vivo</w:t>
      </w:r>
      <w:r w:rsidRPr="004041A3">
        <w:rPr>
          <w:sz w:val="18"/>
          <w:szCs w:val="18"/>
        </w:rPr>
        <w:t xml:space="preserve"> study </w:t>
      </w:r>
      <w:proofErr w:type="gramStart"/>
      <w:r w:rsidRPr="004041A3">
        <w:rPr>
          <w:sz w:val="18"/>
          <w:szCs w:val="18"/>
        </w:rPr>
        <w:t>was carried out</w:t>
      </w:r>
      <w:proofErr w:type="gramEnd"/>
      <w:r w:rsidRPr="004041A3">
        <w:rPr>
          <w:sz w:val="18"/>
          <w:szCs w:val="18"/>
        </w:rPr>
        <w:t xml:space="preserve"> </w:t>
      </w:r>
      <w:r w:rsidR="00287F32">
        <w:rPr>
          <w:sz w:val="18"/>
          <w:szCs w:val="18"/>
        </w:rPr>
        <w:t>with mice bear</w:t>
      </w:r>
      <w:r w:rsidRPr="004041A3">
        <w:rPr>
          <w:sz w:val="18"/>
          <w:szCs w:val="18"/>
        </w:rPr>
        <w:t xml:space="preserve">ing MDA-MB-468 breast cancer xenograft using PET/CT that showed successful </w:t>
      </w:r>
      <w:r w:rsidRPr="00287F32">
        <w:rPr>
          <w:i/>
          <w:sz w:val="18"/>
          <w:szCs w:val="18"/>
        </w:rPr>
        <w:t xml:space="preserve">in vivo </w:t>
      </w:r>
      <w:r w:rsidRPr="004041A3">
        <w:rPr>
          <w:sz w:val="18"/>
          <w:szCs w:val="18"/>
        </w:rPr>
        <w:t xml:space="preserve">click reaction and doxorubicin release. In this way, the click reaction will facilitate pro-drug activation as well as provide a means to quantify the amount of drug administered at site via PET/CT </w:t>
      </w:r>
      <w:r w:rsidRPr="008A7E8A">
        <w:rPr>
          <w:b/>
          <w:sz w:val="18"/>
          <w:szCs w:val="18"/>
        </w:rPr>
        <w:t>(Figure 1)</w:t>
      </w:r>
      <w:r w:rsidRPr="004041A3">
        <w:rPr>
          <w:sz w:val="18"/>
          <w:szCs w:val="18"/>
        </w:rPr>
        <w:t>.</w:t>
      </w:r>
      <w:r>
        <w:rPr>
          <w:sz w:val="18"/>
          <w:szCs w:val="18"/>
        </w:rPr>
        <w:t xml:space="preserve"> </w:t>
      </w:r>
      <w:r w:rsidRPr="004041A3">
        <w:rPr>
          <w:sz w:val="18"/>
          <w:szCs w:val="18"/>
        </w:rPr>
        <w:t>This approach carries the potential to be a significant addition to the currently available “</w:t>
      </w:r>
      <w:proofErr w:type="spellStart"/>
      <w:r w:rsidRPr="004041A3">
        <w:rPr>
          <w:sz w:val="18"/>
          <w:szCs w:val="18"/>
        </w:rPr>
        <w:t>bioorthogonal</w:t>
      </w:r>
      <w:proofErr w:type="spellEnd"/>
      <w:r w:rsidRPr="004041A3">
        <w:rPr>
          <w:sz w:val="18"/>
          <w:szCs w:val="18"/>
        </w:rPr>
        <w:t xml:space="preserve">-click” toolkit that is yet to be improved before translating it to the clinic, as it affords enormous prospective to create quantitative </w:t>
      </w:r>
      <w:proofErr w:type="spellStart"/>
      <w:r w:rsidRPr="004041A3">
        <w:rPr>
          <w:sz w:val="18"/>
          <w:szCs w:val="18"/>
        </w:rPr>
        <w:t>thera</w:t>
      </w:r>
      <w:r>
        <w:rPr>
          <w:sz w:val="18"/>
          <w:szCs w:val="18"/>
        </w:rPr>
        <w:t>nostic</w:t>
      </w:r>
      <w:proofErr w:type="spellEnd"/>
      <w:r>
        <w:rPr>
          <w:sz w:val="18"/>
          <w:szCs w:val="18"/>
        </w:rPr>
        <w:t xml:space="preserve"> systems that can de</w:t>
      </w:r>
      <w:r w:rsidRPr="004041A3">
        <w:rPr>
          <w:sz w:val="18"/>
          <w:szCs w:val="18"/>
        </w:rPr>
        <w:t xml:space="preserve">termine the actual drug release profile </w:t>
      </w:r>
      <w:r w:rsidRPr="00287F32">
        <w:rPr>
          <w:i/>
          <w:sz w:val="18"/>
          <w:szCs w:val="18"/>
        </w:rPr>
        <w:t>in vivo</w:t>
      </w:r>
      <w:r w:rsidRPr="004041A3">
        <w:rPr>
          <w:sz w:val="18"/>
          <w:szCs w:val="18"/>
        </w:rPr>
        <w:t xml:space="preserve"> at the same time reducing toxic side-effects.</w:t>
      </w:r>
    </w:p>
    <w:p w:rsidR="00AE3E37" w:rsidRDefault="00B13DCB" w:rsidP="00B13DCB">
      <w:pPr>
        <w:pStyle w:val="Heading3"/>
        <w:spacing w:before="74"/>
        <w:ind w:left="0"/>
      </w:pPr>
      <w:r>
        <w:rPr>
          <w:noProof/>
          <w:lang w:val="en-AU" w:eastAsia="en-AU"/>
        </w:rPr>
        <w:drawing>
          <wp:anchor distT="0" distB="0" distL="114300" distR="114300" simplePos="0" relativeHeight="251658752" behindDoc="0" locked="0" layoutInCell="1" allowOverlap="1" wp14:anchorId="57EBECED" wp14:editId="10ED11FF">
            <wp:simplePos x="0" y="0"/>
            <wp:positionH relativeFrom="column">
              <wp:posOffset>390525</wp:posOffset>
            </wp:positionH>
            <wp:positionV relativeFrom="paragraph">
              <wp:posOffset>549910</wp:posOffset>
            </wp:positionV>
            <wp:extent cx="694690" cy="9239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4690" cy="923925"/>
                    </a:xfrm>
                    <a:prstGeom prst="rect">
                      <a:avLst/>
                    </a:prstGeom>
                    <a:noFill/>
                  </pic:spPr>
                </pic:pic>
              </a:graphicData>
            </a:graphic>
          </wp:anchor>
        </w:drawing>
      </w:r>
      <w:r w:rsidR="00A9710C">
        <w:rPr>
          <w:b w:val="0"/>
        </w:rPr>
        <w:br w:type="column"/>
      </w:r>
    </w:p>
    <w:p w:rsidR="00AE3E37" w:rsidRDefault="008A7E8A" w:rsidP="008A7E8A">
      <w:pPr>
        <w:pStyle w:val="BodyText"/>
        <w:spacing w:before="2"/>
        <w:jc w:val="center"/>
        <w:rPr>
          <w:rFonts w:ascii="Arial"/>
          <w:b/>
          <w:sz w:val="16"/>
        </w:rPr>
      </w:pPr>
      <w:r w:rsidRPr="00ED7A92">
        <w:rPr>
          <w:b/>
          <w:noProof/>
          <w:sz w:val="22"/>
          <w:szCs w:val="22"/>
          <w:lang w:val="en-AU" w:eastAsia="en-AU"/>
        </w:rPr>
        <w:drawing>
          <wp:inline distT="0" distB="0" distL="0" distR="0">
            <wp:extent cx="2630081" cy="2114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32608" cy="2116581"/>
                    </a:xfrm>
                    <a:prstGeom prst="rect">
                      <a:avLst/>
                    </a:prstGeom>
                    <a:solidFill>
                      <a:srgbClr val="FFFFFF"/>
                    </a:solidFill>
                    <a:ln>
                      <a:noFill/>
                    </a:ln>
                  </pic:spPr>
                </pic:pic>
              </a:graphicData>
            </a:graphic>
          </wp:inline>
        </w:drawing>
      </w:r>
    </w:p>
    <w:p w:rsidR="008A7E8A" w:rsidRDefault="008A7E8A" w:rsidP="008A7E8A">
      <w:pPr>
        <w:spacing w:line="204" w:lineRule="exact"/>
        <w:jc w:val="both"/>
        <w:rPr>
          <w:rFonts w:ascii="Times New Roman" w:hAnsi="Times New Roman" w:cs="Times New Roman"/>
          <w:sz w:val="18"/>
          <w:szCs w:val="18"/>
        </w:rPr>
      </w:pPr>
      <w:r w:rsidRPr="008A7E8A">
        <w:rPr>
          <w:rFonts w:ascii="Times New Roman" w:hAnsi="Times New Roman" w:cs="Times New Roman"/>
          <w:sz w:val="18"/>
          <w:szCs w:val="18"/>
        </w:rPr>
        <w:t>Figure 1:</w:t>
      </w:r>
      <w:r>
        <w:rPr>
          <w:rFonts w:ascii="Times New Roman" w:hAnsi="Times New Roman" w:cs="Times New Roman"/>
          <w:sz w:val="18"/>
          <w:szCs w:val="18"/>
        </w:rPr>
        <w:t xml:space="preserve"> </w:t>
      </w:r>
      <w:proofErr w:type="spellStart"/>
      <w:r>
        <w:rPr>
          <w:rFonts w:ascii="Times New Roman" w:hAnsi="Times New Roman" w:cs="Times New Roman"/>
          <w:sz w:val="18"/>
          <w:szCs w:val="18"/>
        </w:rPr>
        <w:t>Hyperbranched</w:t>
      </w:r>
      <w:proofErr w:type="spellEnd"/>
      <w:r>
        <w:rPr>
          <w:rFonts w:ascii="Times New Roman" w:hAnsi="Times New Roman" w:cs="Times New Roman"/>
          <w:sz w:val="18"/>
          <w:szCs w:val="18"/>
        </w:rPr>
        <w:t xml:space="preserve"> polymer-drug con</w:t>
      </w:r>
      <w:r w:rsidRPr="008A7E8A">
        <w:rPr>
          <w:rFonts w:ascii="Times New Roman" w:hAnsi="Times New Roman" w:cs="Times New Roman"/>
          <w:sz w:val="18"/>
          <w:szCs w:val="18"/>
        </w:rPr>
        <w:t xml:space="preserve">jugate activation via </w:t>
      </w:r>
      <w:proofErr w:type="spellStart"/>
      <w:r w:rsidRPr="008A7E8A">
        <w:rPr>
          <w:rFonts w:ascii="Times New Roman" w:hAnsi="Times New Roman" w:cs="Times New Roman"/>
          <w:sz w:val="18"/>
          <w:szCs w:val="18"/>
        </w:rPr>
        <w:t>bioorthogonal</w:t>
      </w:r>
      <w:proofErr w:type="spellEnd"/>
      <w:r w:rsidRPr="008A7E8A">
        <w:rPr>
          <w:rFonts w:ascii="Times New Roman" w:hAnsi="Times New Roman" w:cs="Times New Roman"/>
          <w:sz w:val="18"/>
          <w:szCs w:val="18"/>
        </w:rPr>
        <w:t xml:space="preserve"> reaction on a </w:t>
      </w:r>
      <w:proofErr w:type="spellStart"/>
      <w:r w:rsidRPr="008A7E8A">
        <w:rPr>
          <w:rFonts w:ascii="Times New Roman" w:hAnsi="Times New Roman" w:cs="Times New Roman"/>
          <w:sz w:val="18"/>
          <w:szCs w:val="18"/>
        </w:rPr>
        <w:t>tumour</w:t>
      </w:r>
      <w:proofErr w:type="spellEnd"/>
      <w:r w:rsidRPr="008A7E8A">
        <w:rPr>
          <w:rFonts w:ascii="Times New Roman" w:hAnsi="Times New Roman" w:cs="Times New Roman"/>
          <w:sz w:val="18"/>
          <w:szCs w:val="18"/>
        </w:rPr>
        <w:t xml:space="preserve"> cell</w:t>
      </w:r>
    </w:p>
    <w:p w:rsidR="005973B9" w:rsidRDefault="005973B9" w:rsidP="008A7E8A">
      <w:pPr>
        <w:spacing w:line="204" w:lineRule="exact"/>
        <w:jc w:val="both"/>
        <w:rPr>
          <w:rFonts w:ascii="Arial"/>
          <w:b/>
          <w:sz w:val="20"/>
        </w:rPr>
      </w:pPr>
      <w:r>
        <w:rPr>
          <w:rFonts w:ascii="Arial"/>
          <w:b/>
          <w:color w:val="BF5A14"/>
          <w:sz w:val="20"/>
        </w:rPr>
        <w:br/>
        <w:t>Recent Publications (minimum 5)</w:t>
      </w:r>
    </w:p>
    <w:p w:rsidR="00483E00" w:rsidRPr="00483E00" w:rsidRDefault="00287F32" w:rsidP="00483E00">
      <w:pPr>
        <w:pStyle w:val="ListParagraph"/>
        <w:numPr>
          <w:ilvl w:val="0"/>
          <w:numId w:val="3"/>
        </w:numPr>
        <w:rPr>
          <w:sz w:val="18"/>
        </w:rPr>
      </w:pPr>
      <w:proofErr w:type="spellStart"/>
      <w:r>
        <w:rPr>
          <w:sz w:val="18"/>
        </w:rPr>
        <w:t>Seluanov</w:t>
      </w:r>
      <w:proofErr w:type="spellEnd"/>
      <w:r>
        <w:rPr>
          <w:sz w:val="18"/>
        </w:rPr>
        <w:t xml:space="preserve"> A, </w:t>
      </w:r>
      <w:proofErr w:type="spellStart"/>
      <w:r>
        <w:rPr>
          <w:sz w:val="18"/>
        </w:rPr>
        <w:t>Gladyshev</w:t>
      </w:r>
      <w:proofErr w:type="spellEnd"/>
      <w:r>
        <w:rPr>
          <w:sz w:val="18"/>
        </w:rPr>
        <w:t xml:space="preserve"> VN, </w:t>
      </w:r>
      <w:proofErr w:type="spellStart"/>
      <w:r>
        <w:rPr>
          <w:sz w:val="18"/>
        </w:rPr>
        <w:t>Vijg</w:t>
      </w:r>
      <w:proofErr w:type="spellEnd"/>
      <w:r>
        <w:rPr>
          <w:sz w:val="18"/>
        </w:rPr>
        <w:t xml:space="preserve"> </w:t>
      </w:r>
      <w:r w:rsidR="00665C1F">
        <w:rPr>
          <w:sz w:val="18"/>
        </w:rPr>
        <w:t xml:space="preserve">,  </w:t>
      </w:r>
      <w:proofErr w:type="spellStart"/>
      <w:r w:rsidR="00665C1F">
        <w:rPr>
          <w:sz w:val="18"/>
        </w:rPr>
        <w:t>Gorbunova</w:t>
      </w:r>
      <w:proofErr w:type="spellEnd"/>
      <w:r w:rsidR="00665C1F">
        <w:rPr>
          <w:sz w:val="18"/>
        </w:rPr>
        <w:t xml:space="preserve"> </w:t>
      </w:r>
      <w:r w:rsidR="00483E00" w:rsidRPr="00483E00">
        <w:rPr>
          <w:sz w:val="18"/>
        </w:rPr>
        <w:t>, (2018) Mechanisms of cancer resist</w:t>
      </w:r>
      <w:r w:rsidR="00665C1F">
        <w:rPr>
          <w:sz w:val="18"/>
        </w:rPr>
        <w:t>ance in long-lived animals, Nature Reviews Cancer, 18:</w:t>
      </w:r>
      <w:r w:rsidR="00483E00" w:rsidRPr="00483E00">
        <w:rPr>
          <w:sz w:val="18"/>
        </w:rPr>
        <w:t xml:space="preserve"> 433-441.</w:t>
      </w:r>
    </w:p>
    <w:p w:rsidR="00665C1F" w:rsidRPr="00665C1F" w:rsidRDefault="00665C1F" w:rsidP="00AB3167">
      <w:pPr>
        <w:pStyle w:val="ListParagraph"/>
        <w:numPr>
          <w:ilvl w:val="0"/>
          <w:numId w:val="3"/>
        </w:numPr>
        <w:rPr>
          <w:sz w:val="18"/>
        </w:rPr>
      </w:pPr>
      <w:proofErr w:type="spellStart"/>
      <w:r>
        <w:rPr>
          <w:sz w:val="18"/>
        </w:rPr>
        <w:t>Rossin</w:t>
      </w:r>
      <w:proofErr w:type="spellEnd"/>
      <w:r>
        <w:rPr>
          <w:sz w:val="18"/>
        </w:rPr>
        <w:t xml:space="preserve"> R, van </w:t>
      </w:r>
      <w:proofErr w:type="spellStart"/>
      <w:r>
        <w:rPr>
          <w:sz w:val="18"/>
        </w:rPr>
        <w:t>Duijnhoven</w:t>
      </w:r>
      <w:proofErr w:type="spellEnd"/>
      <w:r>
        <w:rPr>
          <w:sz w:val="18"/>
        </w:rPr>
        <w:t xml:space="preserve"> SM, ten </w:t>
      </w:r>
      <w:proofErr w:type="spellStart"/>
      <w:r>
        <w:rPr>
          <w:sz w:val="18"/>
        </w:rPr>
        <w:t>Hoeve</w:t>
      </w:r>
      <w:proofErr w:type="spellEnd"/>
      <w:r w:rsidRPr="00665C1F">
        <w:rPr>
          <w:sz w:val="18"/>
        </w:rPr>
        <w:t xml:space="preserve"> </w:t>
      </w:r>
      <w:r>
        <w:rPr>
          <w:sz w:val="18"/>
        </w:rPr>
        <w:t xml:space="preserve">, Janssen HM, Kleijn LH, </w:t>
      </w:r>
      <w:proofErr w:type="spellStart"/>
      <w:r>
        <w:rPr>
          <w:sz w:val="18"/>
        </w:rPr>
        <w:t>Hoeben</w:t>
      </w:r>
      <w:proofErr w:type="spellEnd"/>
      <w:r>
        <w:rPr>
          <w:sz w:val="18"/>
        </w:rPr>
        <w:t xml:space="preserve"> FJ, </w:t>
      </w:r>
      <w:proofErr w:type="spellStart"/>
      <w:r>
        <w:rPr>
          <w:sz w:val="18"/>
        </w:rPr>
        <w:t>Versteegen</w:t>
      </w:r>
      <w:proofErr w:type="spellEnd"/>
      <w:r>
        <w:rPr>
          <w:sz w:val="18"/>
        </w:rPr>
        <w:t xml:space="preserve"> RM, </w:t>
      </w:r>
      <w:proofErr w:type="spellStart"/>
      <w:r>
        <w:rPr>
          <w:sz w:val="18"/>
        </w:rPr>
        <w:t>Robillard</w:t>
      </w:r>
      <w:proofErr w:type="spellEnd"/>
      <w:r>
        <w:rPr>
          <w:sz w:val="18"/>
        </w:rPr>
        <w:t xml:space="preserve"> MS, (2016) </w:t>
      </w:r>
      <w:r w:rsidR="00AB3167" w:rsidRPr="00AB3167">
        <w:rPr>
          <w:sz w:val="18"/>
        </w:rPr>
        <w:t>Triggered Drug Release from an Antibody–Drug Conjugate Using Fast “Click-to-Release” Chemistry in Mice.</w:t>
      </w:r>
      <w:r w:rsidR="00AB3167">
        <w:rPr>
          <w:sz w:val="18"/>
        </w:rPr>
        <w:t xml:space="preserve"> </w:t>
      </w:r>
      <w:proofErr w:type="spellStart"/>
      <w:r>
        <w:rPr>
          <w:sz w:val="18"/>
        </w:rPr>
        <w:t>Bioconjugate</w:t>
      </w:r>
      <w:proofErr w:type="spellEnd"/>
      <w:r>
        <w:rPr>
          <w:sz w:val="18"/>
        </w:rPr>
        <w:t xml:space="preserve"> Chemistry, 27:</w:t>
      </w:r>
      <w:r w:rsidRPr="00665C1F">
        <w:rPr>
          <w:sz w:val="18"/>
        </w:rPr>
        <w:t>1697-1706.</w:t>
      </w:r>
    </w:p>
    <w:p w:rsidR="00B13DCB" w:rsidRPr="00BA1910" w:rsidRDefault="00B13DCB" w:rsidP="00B13DCB">
      <w:pPr>
        <w:pStyle w:val="ListParagraph"/>
        <w:numPr>
          <w:ilvl w:val="0"/>
          <w:numId w:val="3"/>
        </w:numPr>
        <w:tabs>
          <w:tab w:val="left" w:pos="384"/>
        </w:tabs>
        <w:spacing w:before="92" w:line="218" w:lineRule="exact"/>
      </w:pPr>
      <w:proofErr w:type="spellStart"/>
      <w:r>
        <w:rPr>
          <w:sz w:val="18"/>
        </w:rPr>
        <w:t>Rossin</w:t>
      </w:r>
      <w:proofErr w:type="spellEnd"/>
      <w:r>
        <w:rPr>
          <w:sz w:val="18"/>
        </w:rPr>
        <w:t xml:space="preserve"> R,  </w:t>
      </w:r>
      <w:proofErr w:type="spellStart"/>
      <w:r>
        <w:rPr>
          <w:sz w:val="18"/>
        </w:rPr>
        <w:t>Versteegen</w:t>
      </w:r>
      <w:proofErr w:type="spellEnd"/>
      <w:r>
        <w:rPr>
          <w:sz w:val="18"/>
        </w:rPr>
        <w:t xml:space="preserve"> RM,</w:t>
      </w:r>
      <w:r w:rsidRPr="00B13DCB">
        <w:rPr>
          <w:sz w:val="18"/>
        </w:rPr>
        <w:t xml:space="preserve">  Wu</w:t>
      </w:r>
      <w:r>
        <w:rPr>
          <w:sz w:val="18"/>
        </w:rPr>
        <w:t xml:space="preserve"> J,  </w:t>
      </w:r>
      <w:proofErr w:type="spellStart"/>
      <w:r>
        <w:rPr>
          <w:sz w:val="18"/>
        </w:rPr>
        <w:t>Robillard</w:t>
      </w:r>
      <w:proofErr w:type="spellEnd"/>
      <w:r>
        <w:rPr>
          <w:sz w:val="18"/>
        </w:rPr>
        <w:t xml:space="preserve"> M</w:t>
      </w:r>
      <w:r w:rsidRPr="00B13DCB">
        <w:rPr>
          <w:sz w:val="18"/>
        </w:rPr>
        <w:t xml:space="preserve">S., </w:t>
      </w:r>
      <w:r>
        <w:rPr>
          <w:sz w:val="18"/>
        </w:rPr>
        <w:t xml:space="preserve">(2018) </w:t>
      </w:r>
      <w:r w:rsidRPr="00B13DCB">
        <w:rPr>
          <w:sz w:val="18"/>
        </w:rPr>
        <w:t xml:space="preserve">Chemically triggered drug release from an antibody-drug conjugate leads to </w:t>
      </w:r>
      <w:proofErr w:type="gramStart"/>
      <w:r w:rsidRPr="00B13DCB">
        <w:rPr>
          <w:sz w:val="18"/>
        </w:rPr>
        <w:t>potent</w:t>
      </w:r>
      <w:proofErr w:type="gramEnd"/>
      <w:r w:rsidRPr="00B13DCB">
        <w:rPr>
          <w:sz w:val="18"/>
        </w:rPr>
        <w:t xml:space="preserve"> </w:t>
      </w:r>
      <w:proofErr w:type="spellStart"/>
      <w:r w:rsidRPr="00B13DCB">
        <w:rPr>
          <w:sz w:val="18"/>
        </w:rPr>
        <w:t>antitumour</w:t>
      </w:r>
      <w:proofErr w:type="spellEnd"/>
      <w:r w:rsidRPr="00B13DCB">
        <w:rPr>
          <w:sz w:val="18"/>
        </w:rPr>
        <w:t xml:space="preserve"> activity in mi</w:t>
      </w:r>
      <w:r>
        <w:rPr>
          <w:sz w:val="18"/>
        </w:rPr>
        <w:t>ce. Nature Communications 9 (1):1484</w:t>
      </w:r>
      <w:r w:rsidRPr="00B13DCB">
        <w:rPr>
          <w:sz w:val="18"/>
        </w:rPr>
        <w:t xml:space="preserve"> </w:t>
      </w:r>
    </w:p>
    <w:p w:rsidR="00BA1910" w:rsidRDefault="002B182A" w:rsidP="00BA1910">
      <w:pPr>
        <w:pStyle w:val="ListParagraph"/>
        <w:numPr>
          <w:ilvl w:val="0"/>
          <w:numId w:val="3"/>
        </w:numPr>
        <w:tabs>
          <w:tab w:val="left" w:pos="384"/>
        </w:tabs>
        <w:spacing w:before="92" w:line="218" w:lineRule="exact"/>
        <w:rPr>
          <w:sz w:val="18"/>
          <w:szCs w:val="18"/>
        </w:rPr>
      </w:pPr>
      <w:r>
        <w:rPr>
          <w:sz w:val="18"/>
          <w:szCs w:val="18"/>
        </w:rPr>
        <w:t xml:space="preserve">Khan I, </w:t>
      </w:r>
      <w:proofErr w:type="spellStart"/>
      <w:r>
        <w:rPr>
          <w:sz w:val="18"/>
          <w:szCs w:val="18"/>
        </w:rPr>
        <w:t>Agris</w:t>
      </w:r>
      <w:proofErr w:type="spellEnd"/>
      <w:r>
        <w:rPr>
          <w:sz w:val="18"/>
          <w:szCs w:val="18"/>
        </w:rPr>
        <w:t xml:space="preserve"> PF, </w:t>
      </w:r>
      <w:proofErr w:type="spellStart"/>
      <w:r>
        <w:rPr>
          <w:sz w:val="18"/>
          <w:szCs w:val="18"/>
        </w:rPr>
        <w:t>Yigit</w:t>
      </w:r>
      <w:proofErr w:type="spellEnd"/>
      <w:r>
        <w:rPr>
          <w:sz w:val="18"/>
          <w:szCs w:val="18"/>
        </w:rPr>
        <w:t xml:space="preserve"> MV, </w:t>
      </w:r>
      <w:proofErr w:type="spellStart"/>
      <w:r>
        <w:rPr>
          <w:sz w:val="18"/>
          <w:szCs w:val="18"/>
        </w:rPr>
        <w:t>Royzen</w:t>
      </w:r>
      <w:proofErr w:type="spellEnd"/>
      <w:r w:rsidR="00BA1910" w:rsidRPr="00BA1910">
        <w:rPr>
          <w:sz w:val="18"/>
          <w:szCs w:val="18"/>
        </w:rPr>
        <w:t xml:space="preserve"> M. </w:t>
      </w:r>
      <w:r>
        <w:rPr>
          <w:sz w:val="18"/>
          <w:szCs w:val="18"/>
        </w:rPr>
        <w:t xml:space="preserve">(2016) </w:t>
      </w:r>
      <w:r w:rsidR="00BA1910" w:rsidRPr="00BA1910">
        <w:rPr>
          <w:sz w:val="18"/>
          <w:szCs w:val="18"/>
        </w:rPr>
        <w:t>In situ activation of a doxorubicin prodrug using imag</w:t>
      </w:r>
      <w:r>
        <w:rPr>
          <w:sz w:val="18"/>
          <w:szCs w:val="18"/>
        </w:rPr>
        <w:t>ing-capable nanoparticles. Chemical</w:t>
      </w:r>
      <w:r w:rsidR="00BA1910" w:rsidRPr="00BA1910">
        <w:rPr>
          <w:sz w:val="18"/>
          <w:szCs w:val="18"/>
        </w:rPr>
        <w:t xml:space="preserve"> Commun</w:t>
      </w:r>
      <w:r>
        <w:rPr>
          <w:sz w:val="18"/>
          <w:szCs w:val="18"/>
        </w:rPr>
        <w:t xml:space="preserve">ications. </w:t>
      </w:r>
      <w:proofErr w:type="gramStart"/>
      <w:r>
        <w:rPr>
          <w:sz w:val="18"/>
          <w:szCs w:val="18"/>
        </w:rPr>
        <w:t>52</w:t>
      </w:r>
      <w:proofErr w:type="gramEnd"/>
      <w:r>
        <w:rPr>
          <w:sz w:val="18"/>
          <w:szCs w:val="18"/>
        </w:rPr>
        <w:t>:</w:t>
      </w:r>
      <w:r w:rsidR="00BA1910" w:rsidRPr="00BA1910">
        <w:rPr>
          <w:sz w:val="18"/>
          <w:szCs w:val="18"/>
        </w:rPr>
        <w:t>6174–6177</w:t>
      </w:r>
      <w:r>
        <w:rPr>
          <w:sz w:val="18"/>
          <w:szCs w:val="18"/>
        </w:rPr>
        <w:t>.</w:t>
      </w:r>
    </w:p>
    <w:p w:rsidR="006E2100" w:rsidRPr="00CE2DE3" w:rsidRDefault="00996FEC" w:rsidP="00BA1910">
      <w:pPr>
        <w:pStyle w:val="ListParagraph"/>
        <w:numPr>
          <w:ilvl w:val="0"/>
          <w:numId w:val="3"/>
        </w:numPr>
        <w:tabs>
          <w:tab w:val="left" w:pos="384"/>
        </w:tabs>
        <w:spacing w:before="92" w:line="218" w:lineRule="exact"/>
        <w:rPr>
          <w:rFonts w:asciiTheme="minorHAnsi" w:hAnsiTheme="minorHAnsi"/>
          <w:sz w:val="18"/>
          <w:szCs w:val="18"/>
        </w:rPr>
      </w:pPr>
      <w:r>
        <w:rPr>
          <w:rFonts w:asciiTheme="minorHAnsi" w:eastAsiaTheme="minorHAnsi" w:hAnsiTheme="minorHAnsi" w:cs="Segoe UI"/>
          <w:sz w:val="18"/>
          <w:szCs w:val="18"/>
          <w:lang w:val="en-AU"/>
        </w:rPr>
        <w:t xml:space="preserve">Versteegen RM, </w:t>
      </w:r>
      <w:r w:rsidR="006E2100" w:rsidRPr="00CE2DE3">
        <w:rPr>
          <w:rFonts w:asciiTheme="minorHAnsi" w:eastAsiaTheme="minorHAnsi" w:hAnsiTheme="minorHAnsi" w:cs="Segoe UI"/>
          <w:sz w:val="18"/>
          <w:szCs w:val="18"/>
          <w:lang w:val="en-AU"/>
        </w:rPr>
        <w:t xml:space="preserve">Ten </w:t>
      </w:r>
      <w:proofErr w:type="spellStart"/>
      <w:r w:rsidR="006E2100" w:rsidRPr="00CE2DE3">
        <w:rPr>
          <w:rFonts w:asciiTheme="minorHAnsi" w:eastAsiaTheme="minorHAnsi" w:hAnsiTheme="minorHAnsi" w:cs="Segoe UI"/>
          <w:sz w:val="18"/>
          <w:szCs w:val="18"/>
          <w:lang w:val="en-AU"/>
        </w:rPr>
        <w:t>Hoeve</w:t>
      </w:r>
      <w:proofErr w:type="spellEnd"/>
      <w:r w:rsidR="006E2100" w:rsidRPr="00CE2DE3">
        <w:rPr>
          <w:rFonts w:asciiTheme="minorHAnsi" w:eastAsiaTheme="minorHAnsi" w:hAnsiTheme="minorHAnsi" w:cs="Segoe UI"/>
          <w:sz w:val="18"/>
          <w:szCs w:val="18"/>
          <w:lang w:val="en-AU"/>
        </w:rPr>
        <w:t xml:space="preserve"> W</w:t>
      </w:r>
      <w:proofErr w:type="gramStart"/>
      <w:r w:rsidR="006E2100" w:rsidRPr="00CE2DE3">
        <w:rPr>
          <w:rFonts w:asciiTheme="minorHAnsi" w:eastAsiaTheme="minorHAnsi" w:hAnsiTheme="minorHAnsi" w:cs="Segoe UI"/>
          <w:sz w:val="18"/>
          <w:szCs w:val="18"/>
          <w:lang w:val="en-AU"/>
        </w:rPr>
        <w:t xml:space="preserve">,  </w:t>
      </w:r>
      <w:proofErr w:type="spellStart"/>
      <w:r w:rsidR="006E2100" w:rsidRPr="00CE2DE3">
        <w:rPr>
          <w:rFonts w:asciiTheme="minorHAnsi" w:eastAsiaTheme="minorHAnsi" w:hAnsiTheme="minorHAnsi" w:cs="Segoe UI"/>
          <w:sz w:val="18"/>
          <w:szCs w:val="18"/>
          <w:lang w:val="en-AU"/>
        </w:rPr>
        <w:t>Rossin</w:t>
      </w:r>
      <w:proofErr w:type="spellEnd"/>
      <w:proofErr w:type="gramEnd"/>
      <w:r w:rsidR="006E2100" w:rsidRPr="00CE2DE3">
        <w:rPr>
          <w:rFonts w:asciiTheme="minorHAnsi" w:eastAsiaTheme="minorHAnsi" w:hAnsiTheme="minorHAnsi" w:cs="Segoe UI"/>
          <w:sz w:val="18"/>
          <w:szCs w:val="18"/>
          <w:lang w:val="en-AU"/>
        </w:rPr>
        <w:t xml:space="preserve"> R,  de </w:t>
      </w:r>
      <w:proofErr w:type="spellStart"/>
      <w:r w:rsidR="006E2100" w:rsidRPr="00CE2DE3">
        <w:rPr>
          <w:rFonts w:asciiTheme="minorHAnsi" w:eastAsiaTheme="minorHAnsi" w:hAnsiTheme="minorHAnsi" w:cs="Segoe UI"/>
          <w:sz w:val="18"/>
          <w:szCs w:val="18"/>
          <w:lang w:val="en-AU"/>
        </w:rPr>
        <w:t>Geus</w:t>
      </w:r>
      <w:proofErr w:type="spellEnd"/>
      <w:r w:rsidR="006E2100" w:rsidRPr="00CE2DE3">
        <w:rPr>
          <w:rFonts w:asciiTheme="minorHAnsi" w:eastAsiaTheme="minorHAnsi" w:hAnsiTheme="minorHAnsi" w:cs="Segoe UI"/>
          <w:sz w:val="18"/>
          <w:szCs w:val="18"/>
          <w:lang w:val="en-AU"/>
        </w:rPr>
        <w:t xml:space="preserve"> MAR,  Janssen HM, </w:t>
      </w:r>
      <w:proofErr w:type="spellStart"/>
      <w:r w:rsidR="006E2100" w:rsidRPr="00CE2DE3">
        <w:rPr>
          <w:rFonts w:asciiTheme="minorHAnsi" w:eastAsiaTheme="minorHAnsi" w:hAnsiTheme="minorHAnsi" w:cs="Segoe UI"/>
          <w:sz w:val="18"/>
          <w:szCs w:val="18"/>
          <w:lang w:val="en-AU"/>
        </w:rPr>
        <w:t>Robillard</w:t>
      </w:r>
      <w:proofErr w:type="spellEnd"/>
      <w:r w:rsidR="006E2100" w:rsidRPr="00CE2DE3">
        <w:rPr>
          <w:rFonts w:asciiTheme="minorHAnsi" w:eastAsiaTheme="minorHAnsi" w:hAnsiTheme="minorHAnsi" w:cs="Segoe UI"/>
          <w:sz w:val="18"/>
          <w:szCs w:val="18"/>
          <w:lang w:val="en-AU"/>
        </w:rPr>
        <w:t xml:space="preserve"> MS. (2018) Click-to-Release from trans-</w:t>
      </w:r>
      <w:proofErr w:type="spellStart"/>
      <w:r w:rsidR="006E2100" w:rsidRPr="00CE2DE3">
        <w:rPr>
          <w:rFonts w:asciiTheme="minorHAnsi" w:eastAsiaTheme="minorHAnsi" w:hAnsiTheme="minorHAnsi" w:cs="Segoe UI"/>
          <w:sz w:val="18"/>
          <w:szCs w:val="18"/>
          <w:lang w:val="en-AU"/>
        </w:rPr>
        <w:t>Cyclooctenes</w:t>
      </w:r>
      <w:proofErr w:type="spellEnd"/>
      <w:r w:rsidR="006E2100" w:rsidRPr="00CE2DE3">
        <w:rPr>
          <w:rFonts w:asciiTheme="minorHAnsi" w:eastAsiaTheme="minorHAnsi" w:hAnsiTheme="minorHAnsi" w:cs="Segoe UI"/>
          <w:sz w:val="18"/>
          <w:szCs w:val="18"/>
          <w:lang w:val="en-AU"/>
        </w:rPr>
        <w:t xml:space="preserve">: Mechanistic Insights and Expansion of Scope from Established Carbamate to Remarkable Ether Cleavage. </w:t>
      </w:r>
      <w:proofErr w:type="spellStart"/>
      <w:r w:rsidR="006E2100" w:rsidRPr="00CE2DE3">
        <w:rPr>
          <w:rFonts w:asciiTheme="minorHAnsi" w:eastAsiaTheme="minorHAnsi" w:hAnsiTheme="minorHAnsi" w:cs="Segoe UI"/>
          <w:i/>
          <w:iCs/>
          <w:sz w:val="18"/>
          <w:szCs w:val="18"/>
          <w:lang w:val="en-AU"/>
        </w:rPr>
        <w:t>Angewandte</w:t>
      </w:r>
      <w:proofErr w:type="spellEnd"/>
      <w:r w:rsidR="006E2100" w:rsidRPr="00CE2DE3">
        <w:rPr>
          <w:rFonts w:asciiTheme="minorHAnsi" w:eastAsiaTheme="minorHAnsi" w:hAnsiTheme="minorHAnsi" w:cs="Segoe UI"/>
          <w:i/>
          <w:iCs/>
          <w:sz w:val="18"/>
          <w:szCs w:val="18"/>
          <w:lang w:val="en-AU"/>
        </w:rPr>
        <w:t xml:space="preserve"> </w:t>
      </w:r>
      <w:proofErr w:type="spellStart"/>
      <w:r w:rsidR="006E2100" w:rsidRPr="00CE2DE3">
        <w:rPr>
          <w:rFonts w:asciiTheme="minorHAnsi" w:eastAsiaTheme="minorHAnsi" w:hAnsiTheme="minorHAnsi" w:cs="Segoe UI"/>
          <w:i/>
          <w:iCs/>
          <w:sz w:val="18"/>
          <w:szCs w:val="18"/>
          <w:lang w:val="en-AU"/>
        </w:rPr>
        <w:t>Chemie</w:t>
      </w:r>
      <w:proofErr w:type="spellEnd"/>
      <w:r w:rsidR="006E2100" w:rsidRPr="00CE2DE3">
        <w:rPr>
          <w:rFonts w:asciiTheme="minorHAnsi" w:eastAsiaTheme="minorHAnsi" w:hAnsiTheme="minorHAnsi" w:cs="Segoe UI"/>
          <w:i/>
          <w:iCs/>
          <w:sz w:val="18"/>
          <w:szCs w:val="18"/>
          <w:lang w:val="en-AU"/>
        </w:rPr>
        <w:t xml:space="preserve"> (International ed. in English) </w:t>
      </w:r>
      <w:r w:rsidR="006E2100" w:rsidRPr="00CE2DE3">
        <w:rPr>
          <w:rFonts w:asciiTheme="minorHAnsi" w:eastAsiaTheme="minorHAnsi" w:hAnsiTheme="minorHAnsi" w:cs="Segoe UI"/>
          <w:iCs/>
          <w:sz w:val="18"/>
          <w:szCs w:val="18"/>
          <w:lang w:val="en-AU"/>
        </w:rPr>
        <w:t>57</w:t>
      </w:r>
      <w:r w:rsidR="006E2100" w:rsidRPr="00CE2DE3">
        <w:rPr>
          <w:rFonts w:asciiTheme="minorHAnsi" w:eastAsiaTheme="minorHAnsi" w:hAnsiTheme="minorHAnsi" w:cs="Segoe UI"/>
          <w:sz w:val="18"/>
          <w:szCs w:val="18"/>
          <w:lang w:val="en-AU"/>
        </w:rPr>
        <w:t xml:space="preserve"> (33): 10494-10499.</w:t>
      </w:r>
    </w:p>
    <w:p w:rsidR="006E2100" w:rsidRDefault="006E2100">
      <w:pPr>
        <w:spacing w:line="200" w:lineRule="exact"/>
        <w:jc w:val="both"/>
        <w:rPr>
          <w:rFonts w:ascii="Calibri" w:hAnsi="Calibri"/>
        </w:rPr>
        <w:sectPr w:rsidR="006E2100">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AU" w:eastAsia="en-A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FE3CE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2B064A">
      <w:pPr>
        <w:tabs>
          <w:tab w:val="left" w:pos="1590"/>
        </w:tabs>
        <w:spacing w:before="92"/>
        <w:ind w:right="4234"/>
        <w:rPr>
          <w:noProof/>
        </w:rPr>
      </w:pPr>
      <w:r>
        <w:rPr>
          <w:noProof/>
        </w:rPr>
        <w:t xml:space="preserve">              </w:t>
      </w:r>
      <w:r w:rsidR="002B064A">
        <w:rPr>
          <w:noProof/>
        </w:rPr>
        <w:tab/>
      </w:r>
    </w:p>
    <w:p w:rsidR="002B064A" w:rsidRDefault="002B064A" w:rsidP="002B064A">
      <w:pPr>
        <w:tabs>
          <w:tab w:val="left" w:pos="1590"/>
        </w:tabs>
        <w:spacing w:before="92"/>
        <w:ind w:right="4234"/>
        <w:rPr>
          <w:noProof/>
        </w:rPr>
      </w:pPr>
    </w:p>
    <w:p w:rsidR="002B064A" w:rsidRDefault="002B064A" w:rsidP="002B064A">
      <w:pPr>
        <w:tabs>
          <w:tab w:val="left" w:pos="1590"/>
        </w:tabs>
        <w:spacing w:before="92"/>
        <w:ind w:right="4234"/>
        <w:rPr>
          <w:rFonts w:ascii="Arial"/>
        </w:rPr>
      </w:pPr>
    </w:p>
    <w:p w:rsidR="002B064A" w:rsidRPr="002B064A" w:rsidRDefault="002B064A" w:rsidP="002B064A">
      <w:pPr>
        <w:jc w:val="both"/>
        <w:rPr>
          <w:rFonts w:ascii="Arial" w:hAnsi="Arial" w:cs="Arial"/>
          <w:b/>
          <w:sz w:val="14"/>
          <w:szCs w:val="14"/>
        </w:rPr>
      </w:pPr>
      <w:r w:rsidRPr="002B064A">
        <w:rPr>
          <w:rFonts w:ascii="Arial" w:hAnsi="Arial" w:cs="Arial"/>
          <w:color w:val="222222"/>
          <w:sz w:val="14"/>
          <w:szCs w:val="14"/>
          <w:shd w:val="clear" w:color="auto" w:fill="FFFFFF"/>
        </w:rPr>
        <w:t xml:space="preserve">Gayathri Ediriweera is currently undertaking her PhD under the guidance of </w:t>
      </w:r>
      <w:r w:rsidR="002202B6" w:rsidRPr="002B064A">
        <w:rPr>
          <w:rFonts w:ascii="Arial" w:hAnsi="Arial" w:cs="Arial"/>
          <w:color w:val="222222"/>
          <w:sz w:val="14"/>
          <w:szCs w:val="14"/>
          <w:shd w:val="clear" w:color="auto" w:fill="FFFFFF"/>
        </w:rPr>
        <w:t>Associate</w:t>
      </w:r>
      <w:r w:rsidRPr="002B064A">
        <w:rPr>
          <w:rFonts w:ascii="Arial" w:hAnsi="Arial" w:cs="Arial"/>
          <w:color w:val="222222"/>
          <w:sz w:val="14"/>
          <w:szCs w:val="14"/>
          <w:shd w:val="clear" w:color="auto" w:fill="FFFFFF"/>
        </w:rPr>
        <w:t xml:space="preserve"> Prof. Kristofer </w:t>
      </w:r>
      <w:proofErr w:type="spellStart"/>
      <w:r w:rsidRPr="002B064A">
        <w:rPr>
          <w:rFonts w:ascii="Arial" w:hAnsi="Arial" w:cs="Arial"/>
          <w:color w:val="222222"/>
          <w:sz w:val="14"/>
          <w:szCs w:val="14"/>
          <w:shd w:val="clear" w:color="auto" w:fill="FFFFFF"/>
        </w:rPr>
        <w:t>Thurecht</w:t>
      </w:r>
      <w:proofErr w:type="spellEnd"/>
      <w:r w:rsidRPr="002B064A">
        <w:rPr>
          <w:rFonts w:ascii="Arial" w:hAnsi="Arial" w:cs="Arial"/>
          <w:color w:val="222222"/>
          <w:sz w:val="14"/>
          <w:szCs w:val="14"/>
          <w:shd w:val="clear" w:color="auto" w:fill="FFFFFF"/>
        </w:rPr>
        <w:t xml:space="preserve"> in both the Centre for Advance Imaging and the Australian Institute for Bioengineering and Nanotechnology at the University of Queensland. She completed her B.Sc. (Hons) from University of Sri Jayewardenepura, Sri Lanka. She received several awards including Prof. </w:t>
      </w:r>
      <w:proofErr w:type="spellStart"/>
      <w:r w:rsidRPr="002B064A">
        <w:rPr>
          <w:rFonts w:ascii="Arial" w:hAnsi="Arial" w:cs="Arial"/>
          <w:color w:val="222222"/>
          <w:sz w:val="14"/>
          <w:szCs w:val="14"/>
          <w:shd w:val="clear" w:color="auto" w:fill="FFFFFF"/>
        </w:rPr>
        <w:t>Tuley</w:t>
      </w:r>
      <w:proofErr w:type="spellEnd"/>
      <w:r w:rsidRPr="002B064A">
        <w:rPr>
          <w:rFonts w:ascii="Arial" w:hAnsi="Arial" w:cs="Arial"/>
          <w:color w:val="222222"/>
          <w:sz w:val="14"/>
          <w:szCs w:val="14"/>
          <w:shd w:val="clear" w:color="auto" w:fill="FFFFFF"/>
        </w:rPr>
        <w:t xml:space="preserve"> de Silva Gold medal and </w:t>
      </w:r>
      <w:proofErr w:type="spellStart"/>
      <w:r w:rsidRPr="002B064A">
        <w:rPr>
          <w:rFonts w:ascii="Arial" w:hAnsi="Arial" w:cs="Arial"/>
          <w:color w:val="222222"/>
          <w:sz w:val="14"/>
          <w:szCs w:val="14"/>
          <w:shd w:val="clear" w:color="auto" w:fill="FFFFFF"/>
        </w:rPr>
        <w:t>Alles</w:t>
      </w:r>
      <w:proofErr w:type="spellEnd"/>
      <w:r w:rsidRPr="002B064A">
        <w:rPr>
          <w:rFonts w:ascii="Arial" w:hAnsi="Arial" w:cs="Arial"/>
          <w:color w:val="222222"/>
          <w:sz w:val="14"/>
          <w:szCs w:val="14"/>
          <w:shd w:val="clear" w:color="auto" w:fill="FFFFFF"/>
        </w:rPr>
        <w:t xml:space="preserve"> Memorial award for her outstanding performan</w:t>
      </w:r>
      <w:bookmarkStart w:id="0" w:name="_GoBack"/>
      <w:bookmarkEnd w:id="0"/>
      <w:r w:rsidRPr="002B064A">
        <w:rPr>
          <w:rFonts w:ascii="Arial" w:hAnsi="Arial" w:cs="Arial"/>
          <w:color w:val="222222"/>
          <w:sz w:val="14"/>
          <w:szCs w:val="14"/>
          <w:shd w:val="clear" w:color="auto" w:fill="FFFFFF"/>
        </w:rPr>
        <w:t xml:space="preserve">ce in B.Sc. (Hons) degree. She started her career as an Assistant Lecturer in the University of Sri Jayewardenepura, Sri Lanka. Then she received the opportunity to peruse her Doctor of Philosophy (PhD) in the University of Queensland. Her current research interest is on developing polymeric </w:t>
      </w:r>
      <w:proofErr w:type="spellStart"/>
      <w:r w:rsidRPr="002B064A">
        <w:rPr>
          <w:rFonts w:ascii="Arial" w:hAnsi="Arial" w:cs="Arial"/>
          <w:color w:val="222222"/>
          <w:sz w:val="14"/>
          <w:szCs w:val="14"/>
          <w:shd w:val="clear" w:color="auto" w:fill="FFFFFF"/>
        </w:rPr>
        <w:t>theranostics</w:t>
      </w:r>
      <w:proofErr w:type="spellEnd"/>
      <w:r w:rsidRPr="002B064A">
        <w:rPr>
          <w:rFonts w:ascii="Arial" w:hAnsi="Arial" w:cs="Arial"/>
          <w:color w:val="222222"/>
          <w:sz w:val="14"/>
          <w:szCs w:val="14"/>
          <w:shd w:val="clear" w:color="auto" w:fill="FFFFFF"/>
        </w:rPr>
        <w:t xml:space="preserve"> using </w:t>
      </w:r>
      <w:proofErr w:type="spellStart"/>
      <w:r w:rsidRPr="002B064A">
        <w:rPr>
          <w:rFonts w:ascii="Arial" w:hAnsi="Arial" w:cs="Arial"/>
          <w:color w:val="222222"/>
          <w:sz w:val="14"/>
          <w:szCs w:val="14"/>
          <w:shd w:val="clear" w:color="auto" w:fill="FFFFFF"/>
        </w:rPr>
        <w:t>bioorthogonal</w:t>
      </w:r>
      <w:proofErr w:type="spellEnd"/>
      <w:r w:rsidRPr="002B064A">
        <w:rPr>
          <w:rFonts w:ascii="Arial" w:hAnsi="Arial" w:cs="Arial"/>
          <w:color w:val="222222"/>
          <w:sz w:val="14"/>
          <w:szCs w:val="14"/>
          <w:shd w:val="clear" w:color="auto" w:fill="FFFFFF"/>
        </w:rPr>
        <w:t xml:space="preserve"> chemistry.</w:t>
      </w:r>
    </w:p>
    <w:p w:rsidR="00AE3E37" w:rsidRDefault="00A9710C">
      <w:pPr>
        <w:spacing w:before="62"/>
        <w:ind w:left="4217" w:right="4235"/>
        <w:jc w:val="center"/>
        <w:rPr>
          <w:rFonts w:ascii="Arial"/>
          <w:sz w:val="14"/>
        </w:rPr>
      </w:pPr>
      <w:r>
        <w:rPr>
          <w:rFonts w:ascii="Arial"/>
          <w:sz w:val="14"/>
        </w:rPr>
        <w:t xml:space="preserve">Email: </w:t>
      </w:r>
      <w:hyperlink r:id="rId11" w:history="1">
        <w:r w:rsidR="00C174B2" w:rsidRPr="00B73EBD">
          <w:rPr>
            <w:rStyle w:val="Hyperlink"/>
            <w:rFonts w:ascii="Arial"/>
            <w:sz w:val="14"/>
          </w:rPr>
          <w:t>a.ediriweera@uqconnect.edu.au</w:t>
        </w:r>
      </w:hyperlink>
    </w:p>
    <w:p w:rsidR="00AE3E37" w:rsidRDefault="00292ED9">
      <w:pPr>
        <w:pStyle w:val="BodyText"/>
        <w:spacing w:before="2"/>
        <w:rPr>
          <w:rFonts w:ascii="Arial"/>
          <w:sz w:val="19"/>
        </w:rPr>
      </w:pPr>
      <w:r>
        <w:rPr>
          <w:noProof/>
          <w:lang w:val="en-AU" w:eastAsia="en-A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7B14B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51C4" w:rsidRDefault="006C51C4">
      <w:r>
        <w:separator/>
      </w:r>
    </w:p>
  </w:endnote>
  <w:endnote w:type="continuationSeparator" w:id="0">
    <w:p w:rsidR="006C51C4" w:rsidRDefault="006C5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51C4" w:rsidRDefault="006C51C4">
      <w:r>
        <w:separator/>
      </w:r>
    </w:p>
  </w:footnote>
  <w:footnote w:type="continuationSeparator" w:id="0">
    <w:p w:rsidR="006C51C4" w:rsidRDefault="006C51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647E4"/>
    <w:rsid w:val="00164866"/>
    <w:rsid w:val="002202B6"/>
    <w:rsid w:val="002455EC"/>
    <w:rsid w:val="00287F32"/>
    <w:rsid w:val="00292ED9"/>
    <w:rsid w:val="002B064A"/>
    <w:rsid w:val="002B182A"/>
    <w:rsid w:val="004041A3"/>
    <w:rsid w:val="00404E5B"/>
    <w:rsid w:val="00414F7B"/>
    <w:rsid w:val="004355DC"/>
    <w:rsid w:val="004749B4"/>
    <w:rsid w:val="00483E00"/>
    <w:rsid w:val="004916FC"/>
    <w:rsid w:val="00494130"/>
    <w:rsid w:val="004C5ABA"/>
    <w:rsid w:val="004F3523"/>
    <w:rsid w:val="005973B9"/>
    <w:rsid w:val="005B3A56"/>
    <w:rsid w:val="006060CE"/>
    <w:rsid w:val="0062723A"/>
    <w:rsid w:val="0063497F"/>
    <w:rsid w:val="00660D56"/>
    <w:rsid w:val="00665C1F"/>
    <w:rsid w:val="006714D1"/>
    <w:rsid w:val="006A4562"/>
    <w:rsid w:val="006C51C4"/>
    <w:rsid w:val="006E2100"/>
    <w:rsid w:val="007E26A5"/>
    <w:rsid w:val="00873DF0"/>
    <w:rsid w:val="008756E6"/>
    <w:rsid w:val="008A08B6"/>
    <w:rsid w:val="008A7E8A"/>
    <w:rsid w:val="0099396C"/>
    <w:rsid w:val="00996FEC"/>
    <w:rsid w:val="009B2D44"/>
    <w:rsid w:val="00A07E82"/>
    <w:rsid w:val="00A9710C"/>
    <w:rsid w:val="00AB3167"/>
    <w:rsid w:val="00AE3E37"/>
    <w:rsid w:val="00B13DCB"/>
    <w:rsid w:val="00B21A57"/>
    <w:rsid w:val="00B971AF"/>
    <w:rsid w:val="00BA1910"/>
    <w:rsid w:val="00BA5D21"/>
    <w:rsid w:val="00C174B2"/>
    <w:rsid w:val="00C33602"/>
    <w:rsid w:val="00CD6F55"/>
    <w:rsid w:val="00CE2DE3"/>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50541D"/>
  <w15:docId w15:val="{62441043-4A0A-421D-88AC-B6E7764C3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ediriweera@uqconnect.edu.au"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678</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Arukattu Ediriweera</cp:lastModifiedBy>
  <cp:revision>4</cp:revision>
  <dcterms:created xsi:type="dcterms:W3CDTF">2019-04-12T05:06:00Z</dcterms:created>
  <dcterms:modified xsi:type="dcterms:W3CDTF">2019-04-14T07:53:00Z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