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B75104" w:rsidP="00494130">
      <w:pPr>
        <w:pStyle w:val="Heading1"/>
        <w:spacing w:before="170"/>
        <w:ind w:left="0"/>
      </w:pPr>
      <w:r w:rsidRPr="00B75104">
        <w:rPr>
          <w:color w:val="337AB7"/>
        </w:rPr>
        <w:t>Targeted stealth nanoparticles: A small step towards bridging the translational gap</w:t>
      </w:r>
      <w:r>
        <w:rPr>
          <w:color w:val="337AB7"/>
        </w:rPr>
        <w:t>.</w:t>
      </w:r>
      <w:r w:rsidR="00A9710C">
        <w:rPr>
          <w:color w:val="337AB7"/>
        </w:rPr>
        <w:t xml:space="preserve"> </w:t>
      </w:r>
    </w:p>
    <w:p w:rsidR="00B75104" w:rsidRPr="00B75104" w:rsidRDefault="00B75104" w:rsidP="005973B9">
      <w:pPr>
        <w:pStyle w:val="BodyText"/>
        <w:spacing w:before="73" w:line="198" w:lineRule="exact"/>
        <w:ind w:left="100" w:right="5987"/>
        <w:rPr>
          <w:rFonts w:ascii="Arial"/>
          <w:vertAlign w:val="superscript"/>
        </w:rPr>
      </w:pPr>
      <w:r w:rsidRPr="00B75104">
        <w:rPr>
          <w:rFonts w:ascii="Arial"/>
          <w:b/>
          <w:bCs/>
          <w:u w:val="single"/>
        </w:rPr>
        <w:t>Amal J. Sivaram</w:t>
      </w:r>
      <w:r w:rsidRPr="00B75104">
        <w:rPr>
          <w:rFonts w:ascii="Arial"/>
          <w:u w:val="single"/>
          <w:vertAlign w:val="superscript"/>
        </w:rPr>
        <w:t>1</w:t>
      </w:r>
      <w:r w:rsidRPr="00B75104">
        <w:rPr>
          <w:rFonts w:ascii="Arial"/>
          <w:vertAlign w:val="superscript"/>
        </w:rPr>
        <w:t>, 2</w:t>
      </w:r>
      <w:r w:rsidRPr="00B75104">
        <w:rPr>
          <w:rFonts w:ascii="Arial"/>
        </w:rPr>
        <w:t>, Craig Bell</w:t>
      </w:r>
      <w:r w:rsidRPr="00B75104">
        <w:rPr>
          <w:rFonts w:ascii="Arial"/>
          <w:vertAlign w:val="superscript"/>
        </w:rPr>
        <w:t>1, 2</w:t>
      </w:r>
      <w:r w:rsidRPr="00B75104">
        <w:rPr>
          <w:rFonts w:ascii="Arial"/>
        </w:rPr>
        <w:t>, Kristofer J. Thurecht</w:t>
      </w:r>
      <w:r w:rsidRPr="00B75104">
        <w:rPr>
          <w:rFonts w:ascii="Arial"/>
          <w:vertAlign w:val="superscript"/>
        </w:rPr>
        <w:t>1, 2</w:t>
      </w:r>
    </w:p>
    <w:p w:rsidR="00B75104" w:rsidRPr="00B75104" w:rsidRDefault="00B75104" w:rsidP="00B75104">
      <w:pPr>
        <w:pStyle w:val="Heading2"/>
        <w:rPr>
          <w:rFonts w:ascii="Arial" w:hAnsi="Arial" w:cs="Arial"/>
          <w:sz w:val="18"/>
          <w:szCs w:val="18"/>
        </w:rPr>
      </w:pPr>
      <w:r w:rsidRPr="00B75104">
        <w:rPr>
          <w:rFonts w:ascii="Arial" w:hAnsi="Arial" w:cs="Arial"/>
          <w:sz w:val="18"/>
          <w:szCs w:val="18"/>
          <w:vertAlign w:val="superscript"/>
        </w:rPr>
        <w:t>1</w:t>
      </w:r>
      <w:r w:rsidRPr="00B75104">
        <w:rPr>
          <w:rFonts w:ascii="Arial" w:hAnsi="Arial" w:cs="Arial"/>
          <w:sz w:val="18"/>
          <w:szCs w:val="18"/>
        </w:rPr>
        <w:t>Australian Institute of Bioengineering and</w:t>
      </w:r>
      <w:r w:rsidRPr="00B75104">
        <w:rPr>
          <w:rFonts w:ascii="Arial" w:hAnsi="Arial" w:cs="Arial"/>
          <w:sz w:val="18"/>
          <w:szCs w:val="18"/>
        </w:rPr>
        <w:t xml:space="preserve"> </w:t>
      </w:r>
      <w:r w:rsidRPr="00B75104">
        <w:rPr>
          <w:rFonts w:ascii="Arial" w:hAnsi="Arial" w:cs="Arial"/>
          <w:sz w:val="18"/>
          <w:szCs w:val="18"/>
        </w:rPr>
        <w:t>Nanotechnology, The University of Queensland, Brisbane, Australia</w:t>
      </w:r>
    </w:p>
    <w:p w:rsidR="005973B9" w:rsidRPr="00B75104" w:rsidRDefault="00B75104" w:rsidP="00B75104">
      <w:pPr>
        <w:pStyle w:val="Heading2"/>
        <w:rPr>
          <w:rFonts w:ascii="Arial" w:hAnsi="Arial" w:cs="Arial"/>
          <w:sz w:val="18"/>
          <w:szCs w:val="18"/>
        </w:rPr>
      </w:pPr>
      <w:r w:rsidRPr="00B75104">
        <w:rPr>
          <w:rFonts w:ascii="Arial" w:hAnsi="Arial" w:cs="Arial"/>
          <w:sz w:val="18"/>
          <w:szCs w:val="18"/>
          <w:vertAlign w:val="superscript"/>
        </w:rPr>
        <w:t>2</w:t>
      </w:r>
      <w:r w:rsidRPr="00B75104">
        <w:rPr>
          <w:rFonts w:ascii="Arial" w:hAnsi="Arial" w:cs="Arial"/>
          <w:sz w:val="18"/>
          <w:szCs w:val="18"/>
        </w:rPr>
        <w:t>Centre for Advanced Imaging, The University of Queensland, Brisbane, Australia and the ARC Centre of Excellence in Convergent Bio-Nano Science and Technology</w:t>
      </w:r>
      <w:r w:rsidR="005973B9" w:rsidRPr="00B75104">
        <w:rPr>
          <w:rFonts w:ascii="Arial" w:hAnsi="Arial" w:cs="Arial"/>
          <w:sz w:val="18"/>
          <w:szCs w:val="18"/>
        </w:rPr>
        <w:t xml:space="preserve"> </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B75104" w:rsidRDefault="00B75104" w:rsidP="00B75104">
      <w:pPr>
        <w:pStyle w:val="BodyText"/>
        <w:spacing w:before="90" w:line="280" w:lineRule="auto"/>
        <w:ind w:left="100"/>
        <w:jc w:val="both"/>
      </w:pPr>
      <w:r>
        <w:t>Targeted nanomedicines have significantly changed the way in which new therapeutics are designed to treat disease. The ability to integrate nanomaterials with biological com-</w:t>
      </w:r>
      <w:proofErr w:type="spellStart"/>
      <w:r>
        <w:t>ponents</w:t>
      </w:r>
      <w:proofErr w:type="spellEnd"/>
      <w:r>
        <w:t xml:space="preserve"> has led to the development of per-</w:t>
      </w:r>
      <w:proofErr w:type="spellStart"/>
      <w:r>
        <w:t>sonalized</w:t>
      </w:r>
      <w:proofErr w:type="spellEnd"/>
      <w:r>
        <w:t xml:space="preserve"> medicines for various diseases such as cancer. While such conjugates show promising effects in a laboratory setting, most of them fail clinically, which is reflected by the limited number of FDA approved anti-cancer nanomedicines in clinics.1 This </w:t>
      </w:r>
      <w:proofErr w:type="spellStart"/>
      <w:r>
        <w:t>indi</w:t>
      </w:r>
      <w:proofErr w:type="spellEnd"/>
      <w:r>
        <w:t xml:space="preserve">-cates that the research needs to be more </w:t>
      </w:r>
      <w:proofErr w:type="spellStart"/>
      <w:r>
        <w:t>fo-cused</w:t>
      </w:r>
      <w:proofErr w:type="spellEnd"/>
      <w:r>
        <w:t xml:space="preserve"> on understanding the effect of </w:t>
      </w:r>
      <w:proofErr w:type="spellStart"/>
      <w:r>
        <w:t>physico</w:t>
      </w:r>
      <w:proofErr w:type="spellEnd"/>
      <w:r>
        <w:t xml:space="preserve">-chemical properties  of nanomaterials (such as shape, size, ligand density) within </w:t>
      </w:r>
      <w:proofErr w:type="spellStart"/>
      <w:r>
        <w:t>biologi-cal</w:t>
      </w:r>
      <w:proofErr w:type="spellEnd"/>
      <w:r>
        <w:t xml:space="preserve"> systems.2 Research to date has established some general rules for designing new </w:t>
      </w:r>
      <w:proofErr w:type="spellStart"/>
      <w:r>
        <w:t>nano</w:t>
      </w:r>
      <w:proofErr w:type="spellEnd"/>
      <w:r>
        <w:t xml:space="preserve">-materials for drug delivery, with respect to size, shape and surface charge. However, the-se </w:t>
      </w:r>
      <w:proofErr w:type="spellStart"/>
      <w:r>
        <w:t>generalised</w:t>
      </w:r>
      <w:proofErr w:type="spellEnd"/>
      <w:r>
        <w:t xml:space="preserve"> rules seldom translate from the in vitro model to the in vivo, and there is no clear methodology for </w:t>
      </w:r>
      <w:proofErr w:type="spellStart"/>
      <w:r>
        <w:t>optimising</w:t>
      </w:r>
      <w:proofErr w:type="spellEnd"/>
      <w:r>
        <w:t xml:space="preserve"> targeting approaches for drug delivery vehicles.</w:t>
      </w:r>
    </w:p>
    <w:p w:rsidR="00B75104" w:rsidRDefault="00B75104" w:rsidP="00B75104">
      <w:pPr>
        <w:pStyle w:val="BodyText"/>
        <w:spacing w:before="90" w:line="280" w:lineRule="auto"/>
        <w:ind w:left="100" w:firstLine="620"/>
        <w:jc w:val="both"/>
      </w:pPr>
      <w:r>
        <w:t xml:space="preserve">This project focuses on the effect of ligand density on nanoparticle uptake in vitro and in vivo, and how these </w:t>
      </w:r>
      <w:proofErr w:type="spellStart"/>
      <w:r>
        <w:t>fundemental</w:t>
      </w:r>
      <w:proofErr w:type="spellEnd"/>
      <w:r>
        <w:t xml:space="preserve"> </w:t>
      </w:r>
      <w:proofErr w:type="spellStart"/>
      <w:r>
        <w:t>interations</w:t>
      </w:r>
      <w:proofErr w:type="spellEnd"/>
      <w:r>
        <w:t xml:space="preserve"> help in </w:t>
      </w:r>
      <w:proofErr w:type="spellStart"/>
      <w:r>
        <w:t>optimising</w:t>
      </w:r>
      <w:proofErr w:type="spellEnd"/>
      <w:r>
        <w:t xml:space="preserve"> the nanoparticle design. We report on developing an amphiphilic conjugate for self-assembly into targeted micellar structures, using polymers conjugated to antibodies and known stealth polymers such as polyethylene glycol. By controlling the ratios of individual components, micelles with varying ligand densities can be </w:t>
      </w:r>
      <w:proofErr w:type="spellStart"/>
      <w:r>
        <w:t>synthesised</w:t>
      </w:r>
      <w:proofErr w:type="spellEnd"/>
      <w:r>
        <w:t xml:space="preserve"> and </w:t>
      </w:r>
      <w:proofErr w:type="spellStart"/>
      <w:r>
        <w:t>analysed</w:t>
      </w:r>
      <w:proofErr w:type="spellEnd"/>
      <w:r>
        <w:t xml:space="preserve"> (Figure 1).</w:t>
      </w:r>
      <w:r>
        <w:t xml:space="preserve"> </w:t>
      </w:r>
    </w:p>
    <w:p w:rsidR="00AE3E37" w:rsidRDefault="00B75104" w:rsidP="00B75104">
      <w:pPr>
        <w:pStyle w:val="BodyText"/>
        <w:spacing w:before="90" w:line="280" w:lineRule="auto"/>
        <w:ind w:left="100" w:firstLine="620"/>
        <w:jc w:val="both"/>
      </w:pPr>
      <w:r w:rsidRPr="00B75104">
        <w:t>Outcomes from this study will connect gaps that exist in existing first and second-generation nanomedicines. The ability to pre-</w:t>
      </w:r>
      <w:proofErr w:type="spellStart"/>
      <w:r w:rsidRPr="00B75104">
        <w:t>dict</w:t>
      </w:r>
      <w:proofErr w:type="spellEnd"/>
      <w:r w:rsidRPr="00B75104">
        <w:t xml:space="preserve"> the optimum ligand density will offer an added advantage of improving the translation-</w:t>
      </w:r>
      <w:proofErr w:type="spellStart"/>
      <w:r w:rsidRPr="00B75104">
        <w:t>al</w:t>
      </w:r>
      <w:proofErr w:type="spellEnd"/>
      <w:r w:rsidRPr="00B75104">
        <w:t xml:space="preserve"> aspects of nanomedicines. The modular nature of this technology allows it to be tai-</w:t>
      </w:r>
      <w:proofErr w:type="spellStart"/>
      <w:r w:rsidRPr="00B75104">
        <w:t>lored</w:t>
      </w:r>
      <w:proofErr w:type="spellEnd"/>
      <w:r w:rsidRPr="00B75104">
        <w:t xml:space="preserve"> to offer various material combinations for delivery of multiple anticancer drugs</w:t>
      </w:r>
      <w:r>
        <w:t>.</w:t>
      </w:r>
    </w:p>
    <w:p w:rsidR="00AE3E37" w:rsidRDefault="00A9710C">
      <w:pPr>
        <w:pStyle w:val="Heading3"/>
        <w:spacing w:before="74"/>
      </w:pPr>
      <w:r>
        <w:rPr>
          <w:b w:val="0"/>
        </w:rPr>
        <w:br w:type="column"/>
      </w:r>
      <w:r>
        <w:rPr>
          <w:color w:val="BF5A14"/>
        </w:rPr>
        <w:t>Image</w:t>
      </w:r>
    </w:p>
    <w:p w:rsidR="00AE3E37" w:rsidRDefault="00B75104" w:rsidP="00B75104">
      <w:pPr>
        <w:pStyle w:val="BodyText"/>
        <w:spacing w:before="2"/>
        <w:jc w:val="center"/>
        <w:rPr>
          <w:rFonts w:ascii="Arial"/>
          <w:b/>
          <w:sz w:val="16"/>
        </w:rPr>
      </w:pPr>
      <w:r w:rsidRPr="00B75104">
        <w:rPr>
          <w:noProof/>
          <w:lang w:eastAsia="en-IN"/>
        </w:rPr>
        <w:drawing>
          <wp:inline distT="0" distB="0" distL="0" distR="0" wp14:anchorId="68D02085" wp14:editId="29947719">
            <wp:extent cx="2082800" cy="2785745"/>
            <wp:effectExtent l="0" t="0" r="0" b="0"/>
            <wp:docPr id="3" name="Picture 6">
              <a:extLst xmlns:a="http://schemas.openxmlformats.org/drawingml/2006/main">
                <a:ext uri="{FF2B5EF4-FFF2-40B4-BE49-F238E27FC236}">
                  <a16:creationId xmlns:a16="http://schemas.microsoft.com/office/drawing/2014/main" id="{75FC3477-4812-314D-96CC-7D0B69AF2A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5FC3477-4812-314D-96CC-7D0B69AF2A2E}"/>
                        </a:ext>
                      </a:extLst>
                    </pic:cNvPr>
                    <pic:cNvPicPr>
                      <a:picLocks noChangeAspect="1"/>
                    </pic:cNvPicPr>
                  </pic:nvPicPr>
                  <pic:blipFill>
                    <a:blip r:embed="rId9"/>
                    <a:stretch>
                      <a:fillRect/>
                    </a:stretch>
                  </pic:blipFill>
                  <pic:spPr>
                    <a:xfrm>
                      <a:off x="0" y="0"/>
                      <a:ext cx="2089425" cy="2794606"/>
                    </a:xfrm>
                    <a:prstGeom prst="rect">
                      <a:avLst/>
                    </a:prstGeom>
                    <a:solidFill>
                      <a:schemeClr val="bg1"/>
                    </a:solid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r w:rsidR="00C167FF">
        <w:rPr>
          <w:rFonts w:ascii="Arial"/>
          <w:b/>
          <w:color w:val="BF5A14"/>
          <w:sz w:val="20"/>
        </w:rPr>
        <w:t>.</w:t>
      </w:r>
    </w:p>
    <w:p w:rsidR="00B75104" w:rsidRPr="00B75104" w:rsidRDefault="00B75104" w:rsidP="00B75104">
      <w:pPr>
        <w:pStyle w:val="ListParagraph"/>
        <w:numPr>
          <w:ilvl w:val="0"/>
          <w:numId w:val="3"/>
        </w:numPr>
        <w:tabs>
          <w:tab w:val="left" w:pos="384"/>
        </w:tabs>
        <w:spacing w:before="103" w:line="216" w:lineRule="exact"/>
        <w:ind w:right="138" w:hanging="283"/>
        <w:rPr>
          <w:sz w:val="18"/>
        </w:rPr>
      </w:pPr>
      <w:r w:rsidRPr="00B75104">
        <w:rPr>
          <w:sz w:val="18"/>
        </w:rPr>
        <w:t xml:space="preserve">Sivaram, A. J.; </w:t>
      </w:r>
      <w:proofErr w:type="spellStart"/>
      <w:r w:rsidRPr="00B75104">
        <w:rPr>
          <w:sz w:val="18"/>
        </w:rPr>
        <w:t>Wardiana</w:t>
      </w:r>
      <w:proofErr w:type="spellEnd"/>
      <w:r w:rsidRPr="00B75104">
        <w:rPr>
          <w:sz w:val="18"/>
        </w:rPr>
        <w:t xml:space="preserve">, A.; Howard, C. B.; Mahler, S. M.; Thurecht, K. J. (2017) Recent Advances in the Generation of Antibody-Nanomaterial Conjugates. Adv </w:t>
      </w:r>
      <w:proofErr w:type="spellStart"/>
      <w:r w:rsidRPr="00B75104">
        <w:rPr>
          <w:sz w:val="18"/>
        </w:rPr>
        <w:t>Healthc</w:t>
      </w:r>
      <w:proofErr w:type="spellEnd"/>
      <w:r w:rsidRPr="00B75104">
        <w:rPr>
          <w:sz w:val="18"/>
        </w:rPr>
        <w:t xml:space="preserve"> Mater., 7(1), 1700607. </w:t>
      </w:r>
    </w:p>
    <w:p w:rsidR="00B75104" w:rsidRDefault="00B75104" w:rsidP="00B75104">
      <w:pPr>
        <w:pStyle w:val="ListParagraph"/>
        <w:numPr>
          <w:ilvl w:val="0"/>
          <w:numId w:val="3"/>
        </w:numPr>
        <w:tabs>
          <w:tab w:val="left" w:pos="384"/>
        </w:tabs>
        <w:spacing w:line="216" w:lineRule="exact"/>
        <w:ind w:right="137" w:hanging="283"/>
        <w:rPr>
          <w:sz w:val="18"/>
        </w:rPr>
      </w:pPr>
      <w:proofErr w:type="spellStart"/>
      <w:r w:rsidRPr="00B75104">
        <w:rPr>
          <w:sz w:val="18"/>
        </w:rPr>
        <w:t>Lundqvist</w:t>
      </w:r>
      <w:proofErr w:type="spellEnd"/>
      <w:r w:rsidRPr="00B75104">
        <w:rPr>
          <w:sz w:val="18"/>
        </w:rPr>
        <w:t xml:space="preserve">, M.(2013) Nanoparticles: Tracking protein corona over time. Nat </w:t>
      </w:r>
      <w:proofErr w:type="spellStart"/>
      <w:r w:rsidRPr="00B75104">
        <w:rPr>
          <w:sz w:val="18"/>
        </w:rPr>
        <w:t>Nanotechnol</w:t>
      </w:r>
      <w:proofErr w:type="spellEnd"/>
      <w:r w:rsidRPr="00B75104">
        <w:rPr>
          <w:sz w:val="18"/>
        </w:rPr>
        <w:t>., 8 (10), 701-2.</w:t>
      </w:r>
    </w:p>
    <w:p w:rsidR="005973B9" w:rsidRDefault="00B75104" w:rsidP="005973B9">
      <w:pPr>
        <w:pStyle w:val="ListParagraph"/>
        <w:numPr>
          <w:ilvl w:val="0"/>
          <w:numId w:val="3"/>
        </w:numPr>
        <w:tabs>
          <w:tab w:val="left" w:pos="384"/>
        </w:tabs>
        <w:spacing w:line="216" w:lineRule="exact"/>
        <w:ind w:right="138" w:hanging="283"/>
        <w:rPr>
          <w:sz w:val="18"/>
        </w:rPr>
      </w:pPr>
      <w:r w:rsidRPr="00B75104">
        <w:rPr>
          <w:sz w:val="18"/>
        </w:rPr>
        <w:t xml:space="preserve">Xu, S., </w:t>
      </w:r>
      <w:proofErr w:type="spellStart"/>
      <w:r w:rsidRPr="00B75104">
        <w:rPr>
          <w:sz w:val="18"/>
        </w:rPr>
        <w:t>Olenyuk</w:t>
      </w:r>
      <w:proofErr w:type="spellEnd"/>
      <w:r w:rsidRPr="00B75104">
        <w:rPr>
          <w:sz w:val="18"/>
        </w:rPr>
        <w:t xml:space="preserve">, B. Z., Okamoto, C. T., &amp; Hamm-Alvarez, S. F. (2013). Targeting receptor-mediated </w:t>
      </w:r>
      <w:proofErr w:type="spellStart"/>
      <w:r w:rsidRPr="00B75104">
        <w:rPr>
          <w:sz w:val="18"/>
        </w:rPr>
        <w:t>endocytotic</w:t>
      </w:r>
      <w:proofErr w:type="spellEnd"/>
      <w:r w:rsidRPr="00B75104">
        <w:rPr>
          <w:sz w:val="18"/>
        </w:rPr>
        <w:t xml:space="preserve"> pathways with nanoparticles: rationale and advances. Advanced drug delivery reviews, 65(1), 121-138.</w:t>
      </w:r>
    </w:p>
    <w:p w:rsidR="005973B9" w:rsidRPr="00B75104" w:rsidRDefault="00B75104" w:rsidP="00B75104">
      <w:pPr>
        <w:pStyle w:val="ListParagraph"/>
        <w:numPr>
          <w:ilvl w:val="0"/>
          <w:numId w:val="3"/>
        </w:numPr>
        <w:tabs>
          <w:tab w:val="left" w:pos="384"/>
        </w:tabs>
        <w:spacing w:before="92" w:line="218" w:lineRule="exact"/>
        <w:ind w:hanging="283"/>
      </w:pPr>
      <w:r w:rsidRPr="00B75104">
        <w:rPr>
          <w:sz w:val="18"/>
        </w:rPr>
        <w:t xml:space="preserve">Fuchs, A. V., Gemmell, A. C., &amp; Thurecht, K. J. (2015). </w:t>
      </w:r>
      <w:proofErr w:type="spellStart"/>
      <w:r w:rsidRPr="00B75104">
        <w:rPr>
          <w:sz w:val="18"/>
        </w:rPr>
        <w:t>Utilising</w:t>
      </w:r>
      <w:proofErr w:type="spellEnd"/>
      <w:r w:rsidRPr="00B75104">
        <w:rPr>
          <w:sz w:val="18"/>
        </w:rPr>
        <w:t xml:space="preserve"> polymers to understand diseases: advanced molecular imaging agents. Polymer Chemistry, 6(6), 868-880</w:t>
      </w:r>
      <w:r>
        <w:rPr>
          <w:sz w:val="18"/>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B75104">
        <w:rPr>
          <w:rFonts w:ascii="Calibri" w:hAnsi="Calibri"/>
        </w:rPr>
        <w:tab/>
      </w:r>
      <w:r w:rsidR="00B75104" w:rsidRPr="00B75104">
        <w:rPr>
          <w:rFonts w:ascii="Calibri" w:hAnsi="Calibri"/>
        </w:rPr>
        <w:t xml:space="preserve">Zhang, S., Li, J., </w:t>
      </w:r>
      <w:proofErr w:type="spellStart"/>
      <w:r w:rsidR="00B75104" w:rsidRPr="00B75104">
        <w:rPr>
          <w:rFonts w:ascii="Calibri" w:hAnsi="Calibri"/>
        </w:rPr>
        <w:t>Lykotrafitis</w:t>
      </w:r>
      <w:proofErr w:type="spellEnd"/>
      <w:r w:rsidR="00B75104" w:rsidRPr="00B75104">
        <w:rPr>
          <w:rFonts w:ascii="Calibri" w:hAnsi="Calibri"/>
        </w:rPr>
        <w:t>, G., Bao, G., &amp; Suresh, S. (2009). Size‐dependent endocytosis of nanoparticles. Advanced materials, 21(4), 419-424.</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6D0AB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r w:rsidR="00C167FF" w:rsidRPr="00C167FF">
        <w:rPr>
          <w:noProof/>
          <w:lang w:val="en-IN" w:eastAsia="en-IN"/>
        </w:rPr>
        <w:t xml:space="preserve"> </w:t>
      </w:r>
      <w:r w:rsidR="00C167FF">
        <w:rPr>
          <w:rFonts w:ascii="Arial"/>
          <w:noProof/>
        </w:rPr>
        <w:drawing>
          <wp:inline distT="0" distB="0" distL="0" distR="0">
            <wp:extent cx="796608" cy="796608"/>
            <wp:effectExtent l="0" t="0" r="3810" b="3810"/>
            <wp:docPr id="6" name="Picture 6" descr="A person wearing glasses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ropped-1534459201_am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7562" cy="797562"/>
                    </a:xfrm>
                    <a:prstGeom prst="rect">
                      <a:avLst/>
                    </a:prstGeom>
                  </pic:spPr>
                </pic:pic>
              </a:graphicData>
            </a:graphic>
          </wp:inline>
        </w:drawing>
      </w:r>
    </w:p>
    <w:p w:rsidR="00AE3E37" w:rsidRDefault="00B75104">
      <w:pPr>
        <w:spacing w:before="41" w:line="154" w:lineRule="exact"/>
        <w:ind w:left="213" w:right="231"/>
        <w:jc w:val="both"/>
        <w:rPr>
          <w:rFonts w:ascii="Arial"/>
          <w:sz w:val="14"/>
        </w:rPr>
      </w:pPr>
      <w:r w:rsidRPr="00B75104">
        <w:rPr>
          <w:rFonts w:ascii="Arial"/>
          <w:sz w:val="14"/>
        </w:rPr>
        <w:t xml:space="preserve">Amal J. Sivaram is currently undertaking his Ph.D. under the guidance of Dr. Kristofer Thurecht in University of Queensland. His current research interests include targeted drug delivery using polymeric nanoparticles and developing smart nanomaterials for </w:t>
      </w:r>
      <w:proofErr w:type="spellStart"/>
      <w:r w:rsidRPr="00B75104">
        <w:rPr>
          <w:rFonts w:ascii="Arial"/>
          <w:sz w:val="14"/>
        </w:rPr>
        <w:t>theranostic</w:t>
      </w:r>
      <w:proofErr w:type="spellEnd"/>
      <w:r w:rsidRPr="00B75104">
        <w:rPr>
          <w:rFonts w:ascii="Arial"/>
          <w:sz w:val="14"/>
        </w:rPr>
        <w:t xml:space="preserve"> applications</w:t>
      </w:r>
      <w:r>
        <w:rPr>
          <w:rFonts w:ascii="Arial"/>
          <w:sz w:val="14"/>
        </w:rPr>
        <w:t xml:space="preserve">. </w:t>
      </w:r>
    </w:p>
    <w:p w:rsidR="00B75104" w:rsidRDefault="00A9710C" w:rsidP="00B75104">
      <w:pPr>
        <w:spacing w:before="62"/>
        <w:ind w:right="4235" w:firstLine="213"/>
        <w:rPr>
          <w:rFonts w:ascii="Arial"/>
          <w:sz w:val="14"/>
        </w:rPr>
      </w:pPr>
      <w:r>
        <w:rPr>
          <w:rFonts w:ascii="Arial"/>
          <w:sz w:val="14"/>
        </w:rPr>
        <w:t xml:space="preserve">Email: </w:t>
      </w:r>
      <w:hyperlink r:id="rId11" w:history="1">
        <w:r w:rsidR="00B75104" w:rsidRPr="00A41D78">
          <w:rPr>
            <w:rStyle w:val="Hyperlink"/>
            <w:rFonts w:ascii="Arial"/>
            <w:sz w:val="14"/>
          </w:rPr>
          <w:t>a.jayakumarsivaram@uq.edu.au</w:t>
        </w:r>
      </w:hyperlink>
    </w:p>
    <w:p w:rsidR="00AE3E37" w:rsidRPr="00C167FF" w:rsidRDefault="00292ED9" w:rsidP="00C167FF">
      <w:pPr>
        <w:spacing w:before="62"/>
        <w:ind w:right="4235"/>
        <w:rPr>
          <w:rFonts w:ascii="Arial"/>
          <w:sz w:val="14"/>
        </w:rPr>
      </w:pPr>
      <w:bookmarkStart w:id="0" w:name="_GoBack"/>
      <w:bookmarkEnd w:id="0"/>
      <w:r>
        <w:rPr>
          <w:noProof/>
          <w:lang w:val="en-IN" w:eastAsia="en-IN"/>
        </w:rPr>
        <mc:AlternateContent>
          <mc:Choice Requires="wps">
            <w:drawing>
              <wp:anchor distT="0" distB="0" distL="0" distR="0" simplePos="0" relativeHeight="25165414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11221"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Pr="00B75104" w:rsidRDefault="00AE3E37" w:rsidP="00B75104">
      <w:pPr>
        <w:spacing w:before="39"/>
        <w:rPr>
          <w:rFonts w:ascii="Minion Pro"/>
          <w:b/>
          <w:sz w:val="20"/>
        </w:rPr>
        <w:sectPr w:rsidR="00AE3E37" w:rsidRPr="00B75104">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4691" w:rsidRDefault="000F4691">
      <w:r>
        <w:separator/>
      </w:r>
    </w:p>
  </w:endnote>
  <w:endnote w:type="continuationSeparator" w:id="0">
    <w:p w:rsidR="000F4691" w:rsidRDefault="000F4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Kartika">
    <w:panose1 w:val="02020503030404060203"/>
    <w:charset w:val="00"/>
    <w:family w:val="roman"/>
    <w:pitch w:val="variable"/>
    <w:sig w:usb0="008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4691" w:rsidRDefault="000F4691">
      <w:r>
        <w:separator/>
      </w:r>
    </w:p>
  </w:footnote>
  <w:footnote w:type="continuationSeparator" w:id="0">
    <w:p w:rsidR="000F4691" w:rsidRDefault="000F4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469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75104"/>
    <w:rsid w:val="00C167F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bidi="ml-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5EE91"/>
  <w15:docId w15:val="{9AD9BA28-05FA-4546-9E7A-074A449F6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75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jayakumarsivaram@uq.edu.au"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Amal J Sivaram</cp:lastModifiedBy>
  <cp:revision>2</cp:revision>
  <dcterms:created xsi:type="dcterms:W3CDTF">2019-04-14T07:56:00Z</dcterms:created>
  <dcterms:modified xsi:type="dcterms:W3CDTF">2019-04-14T07:56:00Z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