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6136" w:rsidRPr="003E6136" w:rsidRDefault="003E6136" w:rsidP="003E6136">
      <w:pPr>
        <w:pStyle w:val="Heading1"/>
        <w:shd w:val="clear" w:color="auto" w:fill="FFFFFF"/>
        <w:spacing w:before="120" w:after="120" w:line="300" w:lineRule="atLeast"/>
        <w:rPr>
          <w:rFonts w:eastAsia="Times New Roman" w:cs="Arial"/>
          <w:color w:val="000000"/>
        </w:rPr>
      </w:pPr>
      <w:r w:rsidRPr="003E6136">
        <w:rPr>
          <w:rFonts w:cs="Arial"/>
          <w:color w:val="000000"/>
        </w:rPr>
        <w:t>Role of Gold Nanorods: Inhibition and Dissolution of Aβ Fibrils Induced by Near IR Laser.</w:t>
      </w:r>
    </w:p>
    <w:p w:rsidR="003E6136" w:rsidRDefault="003E6136" w:rsidP="003E6136">
      <w:pPr>
        <w:pStyle w:val="BodyText"/>
        <w:rPr>
          <w:rFonts w:ascii="Arial"/>
          <w:sz w:val="20"/>
        </w:rPr>
      </w:pPr>
      <w:r>
        <w:rPr>
          <w:rFonts w:ascii="Arial" w:hAnsi="Arial" w:cs="Arial"/>
          <w:shd w:val="clear" w:color="auto" w:fill="FFFFFF"/>
        </w:rPr>
        <w:t xml:space="preserve">   </w:t>
      </w:r>
      <w:r w:rsidRPr="003E6136">
        <w:rPr>
          <w:rFonts w:ascii="Arial" w:hAnsi="Arial" w:cs="Arial"/>
          <w:shd w:val="clear" w:color="auto" w:fill="FFFFFF"/>
        </w:rPr>
        <w:t>Sudhakar S</w:t>
      </w:r>
      <w:r w:rsidRPr="003E6136">
        <w:rPr>
          <w:rFonts w:ascii="Arial" w:hAnsi="Arial" w:cs="Arial"/>
          <w:shd w:val="clear" w:color="auto" w:fill="FFFFFF"/>
          <w:vertAlign w:val="superscript"/>
        </w:rPr>
        <w:t>1</w:t>
      </w:r>
      <w:r>
        <w:rPr>
          <w:rFonts w:ascii="Arial" w:hAnsi="Arial" w:cs="Arial"/>
          <w:color w:val="000000"/>
          <w:shd w:val="clear" w:color="auto" w:fill="FFFFFF"/>
        </w:rPr>
        <w:t>, </w:t>
      </w:r>
      <w:r w:rsidRPr="003E6136">
        <w:rPr>
          <w:rFonts w:ascii="Arial" w:hAnsi="Arial" w:cs="Arial"/>
          <w:shd w:val="clear" w:color="auto" w:fill="FFFFFF"/>
        </w:rPr>
        <w:t>Santhosh PB</w:t>
      </w:r>
      <w:r>
        <w:rPr>
          <w:rFonts w:ascii="Arial" w:hAnsi="Arial" w:cs="Arial"/>
          <w:color w:val="000000"/>
          <w:shd w:val="clear" w:color="auto" w:fill="FFFFFF"/>
        </w:rPr>
        <w:t>, </w:t>
      </w:r>
      <w:r w:rsidRPr="003E6136">
        <w:rPr>
          <w:rFonts w:ascii="Arial" w:hAnsi="Arial" w:cs="Arial"/>
          <w:shd w:val="clear" w:color="auto" w:fill="FFFFFF"/>
        </w:rPr>
        <w:t>Mani E</w:t>
      </w:r>
      <w:r>
        <w:rPr>
          <w:rFonts w:ascii="Arial" w:hAnsi="Arial" w:cs="Arial"/>
          <w:shd w:val="clear" w:color="auto" w:fill="FFFFFF"/>
        </w:rPr>
        <w:t>*</w:t>
      </w:r>
      <w:r>
        <w:rPr>
          <w:rFonts w:ascii="Arial"/>
          <w:sz w:val="20"/>
        </w:rPr>
        <w:t>,</w:t>
      </w:r>
    </w:p>
    <w:p w:rsidR="00AE3E37" w:rsidRPr="003E6136" w:rsidRDefault="003E6136" w:rsidP="003E6136">
      <w:pPr>
        <w:pStyle w:val="BodyText"/>
        <w:rPr>
          <w:rFonts w:ascii="Arial"/>
          <w:sz w:val="20"/>
        </w:rPr>
        <w:sectPr w:rsidR="00AE3E37" w:rsidRPr="003E6136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  <w:r>
        <w:rPr>
          <w:rFonts w:ascii="Arial"/>
          <w:sz w:val="20"/>
        </w:rPr>
        <w:t xml:space="preserve">   </w:t>
      </w:r>
      <w:r>
        <w:rPr>
          <w:rFonts w:ascii="Arial"/>
          <w:sz w:val="21"/>
        </w:rPr>
        <w:t>Department of Chemical Engineering, Indian Institute of Technology, Madras, India</w:t>
      </w: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</w:t>
      </w:r>
      <w:proofErr w:type="gramStart"/>
      <w:r w:rsidR="00404E5B">
        <w:rPr>
          <w:color w:val="BF5A14"/>
        </w:rPr>
        <w:t>300 word</w:t>
      </w:r>
      <w:proofErr w:type="gramEnd"/>
      <w:r w:rsidR="00404E5B">
        <w:rPr>
          <w:color w:val="BF5A14"/>
        </w:rPr>
        <w:t xml:space="preserve"> limit)</w:t>
      </w:r>
    </w:p>
    <w:p w:rsidR="00AE3E37" w:rsidRDefault="003E6136" w:rsidP="003E6136">
      <w:pPr>
        <w:pStyle w:val="BodyText"/>
        <w:spacing w:before="90" w:line="280" w:lineRule="auto"/>
        <w:ind w:left="100"/>
        <w:jc w:val="both"/>
      </w:pPr>
      <w:r w:rsidRPr="003E6136">
        <w:rPr>
          <w:rFonts w:cs="Arial"/>
          <w:color w:val="000000"/>
          <w:shd w:val="clear" w:color="auto" w:fill="FFFFFF"/>
        </w:rPr>
        <w:t>Extracellular plaques of amyloid beta (A</w:t>
      </w:r>
      <w:r w:rsidRPr="003E6136">
        <w:rPr>
          <w:rFonts w:ascii="Calibri" w:hAnsi="Calibri" w:cs="Calibri"/>
          <w:color w:val="000000"/>
          <w:shd w:val="clear" w:color="auto" w:fill="FFFFFF"/>
        </w:rPr>
        <w:t>β</w:t>
      </w:r>
      <w:r w:rsidRPr="003E6136">
        <w:rPr>
          <w:rFonts w:cs="Arial"/>
          <w:color w:val="000000"/>
          <w:shd w:val="clear" w:color="auto" w:fill="FFFFFF"/>
        </w:rPr>
        <w:t>) fibrils and neurofibrillary tangles are known to be associated with neurological diseases such as Alzheimer's disease. Studies have shown that spherical nanoparticles inhibit the formation of A</w:t>
      </w:r>
      <w:r w:rsidRPr="003E6136">
        <w:rPr>
          <w:rFonts w:ascii="Calibri" w:hAnsi="Calibri" w:cs="Calibri"/>
          <w:color w:val="000000"/>
          <w:shd w:val="clear" w:color="auto" w:fill="FFFFFF"/>
        </w:rPr>
        <w:t>β</w:t>
      </w:r>
      <w:r w:rsidRPr="003E6136">
        <w:rPr>
          <w:rFonts w:cs="Arial"/>
          <w:color w:val="000000"/>
          <w:shd w:val="clear" w:color="auto" w:fill="FFFFFF"/>
        </w:rPr>
        <w:t xml:space="preserve"> fibrils by intercepting the nucleation and growth pathways of fibrillation. In this report, gold nanorods (</w:t>
      </w:r>
      <w:proofErr w:type="spellStart"/>
      <w:r w:rsidRPr="003E6136">
        <w:rPr>
          <w:rFonts w:cs="Arial"/>
          <w:color w:val="000000"/>
          <w:shd w:val="clear" w:color="auto" w:fill="FFFFFF"/>
        </w:rPr>
        <w:t>AuNRs</w:t>
      </w:r>
      <w:proofErr w:type="spellEnd"/>
      <w:r w:rsidRPr="003E6136">
        <w:rPr>
          <w:rFonts w:cs="Arial"/>
          <w:color w:val="000000"/>
          <w:shd w:val="clear" w:color="auto" w:fill="FFFFFF"/>
        </w:rPr>
        <w:t>) are used to inhibit the formation of A</w:t>
      </w:r>
      <w:r w:rsidRPr="003E6136">
        <w:rPr>
          <w:rFonts w:ascii="Calibri" w:hAnsi="Calibri" w:cs="Calibri"/>
          <w:color w:val="000000"/>
          <w:shd w:val="clear" w:color="auto" w:fill="FFFFFF"/>
        </w:rPr>
        <w:t>β</w:t>
      </w:r>
      <w:r w:rsidRPr="003E6136">
        <w:rPr>
          <w:rFonts w:cs="Arial"/>
          <w:color w:val="000000"/>
          <w:shd w:val="clear" w:color="auto" w:fill="FFFFFF"/>
        </w:rPr>
        <w:t xml:space="preserve"> fibrils and the shape-dependent plasmonic properties of </w:t>
      </w:r>
      <w:proofErr w:type="spellStart"/>
      <w:r w:rsidRPr="003E6136">
        <w:rPr>
          <w:rFonts w:cs="Arial"/>
          <w:color w:val="000000"/>
          <w:shd w:val="clear" w:color="auto" w:fill="FFFFFF"/>
        </w:rPr>
        <w:t>AuNRs</w:t>
      </w:r>
      <w:proofErr w:type="spellEnd"/>
      <w:r w:rsidRPr="003E6136">
        <w:rPr>
          <w:rFonts w:cs="Arial"/>
          <w:color w:val="000000"/>
          <w:shd w:val="clear" w:color="auto" w:fill="FFFFFF"/>
        </w:rPr>
        <w:t xml:space="preserve"> are exploited to </w:t>
      </w:r>
      <w:proofErr w:type="spellStart"/>
      <w:r w:rsidRPr="003E6136">
        <w:rPr>
          <w:rFonts w:cs="Arial"/>
          <w:color w:val="000000"/>
          <w:shd w:val="clear" w:color="auto" w:fill="FFFFFF"/>
        </w:rPr>
        <w:t>faciliate</w:t>
      </w:r>
      <w:proofErr w:type="spellEnd"/>
      <w:r w:rsidRPr="003E6136">
        <w:rPr>
          <w:rFonts w:cs="Arial"/>
          <w:color w:val="000000"/>
          <w:shd w:val="clear" w:color="auto" w:fill="FFFFFF"/>
        </w:rPr>
        <w:t xml:space="preserve"> faster dissolution of mature A</w:t>
      </w:r>
      <w:r w:rsidRPr="003E6136">
        <w:rPr>
          <w:rFonts w:ascii="Calibri" w:hAnsi="Calibri" w:cs="Calibri"/>
          <w:color w:val="000000"/>
          <w:shd w:val="clear" w:color="auto" w:fill="FFFFFF"/>
        </w:rPr>
        <w:t>β</w:t>
      </w:r>
      <w:r w:rsidRPr="003E6136">
        <w:rPr>
          <w:rFonts w:cs="Arial"/>
          <w:color w:val="000000"/>
          <w:shd w:val="clear" w:color="auto" w:fill="FFFFFF"/>
        </w:rPr>
        <w:t xml:space="preserve"> fibrils. Negatively charged, lipid (DMPC) stabilized </w:t>
      </w:r>
      <w:proofErr w:type="spellStart"/>
      <w:r w:rsidRPr="003E6136">
        <w:rPr>
          <w:rFonts w:cs="Arial"/>
          <w:color w:val="000000"/>
          <w:shd w:val="clear" w:color="auto" w:fill="FFFFFF"/>
        </w:rPr>
        <w:t>AuNRs</w:t>
      </w:r>
      <w:proofErr w:type="spellEnd"/>
      <w:r w:rsidRPr="003E6136">
        <w:rPr>
          <w:rFonts w:cs="Arial"/>
          <w:color w:val="000000"/>
          <w:shd w:val="clear" w:color="auto" w:fill="FFFFFF"/>
        </w:rPr>
        <w:t xml:space="preserve"> inhibit the formation of fibrils due to selective binding to the </w:t>
      </w:r>
      <w:proofErr w:type="spellStart"/>
      <w:r w:rsidRPr="003E6136">
        <w:rPr>
          <w:rFonts w:cs="Arial"/>
          <w:color w:val="000000"/>
          <w:shd w:val="clear" w:color="auto" w:fill="FFFFFF"/>
        </w:rPr>
        <w:t>positevly</w:t>
      </w:r>
      <w:proofErr w:type="spellEnd"/>
      <w:r w:rsidRPr="003E6136">
        <w:rPr>
          <w:rFonts w:cs="Arial"/>
          <w:color w:val="000000"/>
          <w:shd w:val="clear" w:color="auto" w:fill="FFFFFF"/>
        </w:rPr>
        <w:t xml:space="preserve"> charged amyloidogenic sequence of A</w:t>
      </w:r>
      <w:r w:rsidRPr="003E6136">
        <w:rPr>
          <w:rFonts w:ascii="Calibri" w:hAnsi="Calibri" w:cs="Calibri"/>
          <w:color w:val="000000"/>
          <w:shd w:val="clear" w:color="auto" w:fill="FFFFFF"/>
        </w:rPr>
        <w:t>β</w:t>
      </w:r>
      <w:r w:rsidRPr="003E6136">
        <w:rPr>
          <w:rFonts w:cs="Arial"/>
          <w:color w:val="000000"/>
          <w:shd w:val="clear" w:color="auto" w:fill="FFFFFF"/>
        </w:rPr>
        <w:t xml:space="preserve"> protein. The kinetics of inhibition is characterized by thioflavin T (</w:t>
      </w:r>
      <w:proofErr w:type="spellStart"/>
      <w:r w:rsidRPr="003E6136">
        <w:rPr>
          <w:rFonts w:cs="Arial"/>
          <w:color w:val="000000"/>
          <w:shd w:val="clear" w:color="auto" w:fill="FFFFFF"/>
        </w:rPr>
        <w:t>ThT</w:t>
      </w:r>
      <w:proofErr w:type="spellEnd"/>
      <w:r w:rsidRPr="003E6136">
        <w:rPr>
          <w:rFonts w:cs="Arial"/>
          <w:color w:val="000000"/>
          <w:shd w:val="clear" w:color="auto" w:fill="FFFFFF"/>
        </w:rPr>
        <w:t>) fluorescence, transmission electronic microscopy (TEM), atomic force microscopy (AFM), and attenuated total reflectance Fourier transform infrared spectroscopy (ATR-FTIR). An increase in the aspect ratio of DMPC-</w:t>
      </w:r>
      <w:proofErr w:type="spellStart"/>
      <w:r w:rsidRPr="003E6136">
        <w:rPr>
          <w:rFonts w:cs="Arial"/>
          <w:color w:val="000000"/>
          <w:shd w:val="clear" w:color="auto" w:fill="FFFFFF"/>
        </w:rPr>
        <w:t>AuNR</w:t>
      </w:r>
      <w:proofErr w:type="spellEnd"/>
      <w:r w:rsidRPr="003E6136">
        <w:rPr>
          <w:rFonts w:cs="Arial"/>
          <w:color w:val="000000"/>
          <w:shd w:val="clear" w:color="auto" w:fill="FFFFFF"/>
        </w:rPr>
        <w:t xml:space="preserve"> in the range of 2.2-4.2 decreased the fibrils content proportionally. Further, the fibrils content is decreased by increasing the concentration of </w:t>
      </w:r>
      <w:proofErr w:type="spellStart"/>
      <w:r w:rsidRPr="003E6136">
        <w:rPr>
          <w:rFonts w:cs="Arial"/>
          <w:color w:val="000000"/>
          <w:shd w:val="clear" w:color="auto" w:fill="FFFFFF"/>
        </w:rPr>
        <w:t>AuNR</w:t>
      </w:r>
      <w:proofErr w:type="spellEnd"/>
      <w:r w:rsidRPr="003E6136">
        <w:rPr>
          <w:rFonts w:cs="Arial"/>
          <w:color w:val="000000"/>
          <w:shd w:val="clear" w:color="auto" w:fill="FFFFFF"/>
        </w:rPr>
        <w:t xml:space="preserve"> for all aspect ratios. As </w:t>
      </w:r>
      <w:proofErr w:type="spellStart"/>
      <w:r w:rsidRPr="003E6136">
        <w:rPr>
          <w:rFonts w:cs="Arial"/>
          <w:color w:val="000000"/>
          <w:shd w:val="clear" w:color="auto" w:fill="FFFFFF"/>
        </w:rPr>
        <w:t>AuNR</w:t>
      </w:r>
      <w:proofErr w:type="spellEnd"/>
      <w:r w:rsidRPr="003E6136">
        <w:rPr>
          <w:rFonts w:cs="Arial"/>
          <w:color w:val="000000"/>
          <w:shd w:val="clear" w:color="auto" w:fill="FFFFFF"/>
        </w:rPr>
        <w:t xml:space="preserve"> absorb near-infrared (NIR) light and creates a localized hotspot, NIR laser (800 nm) is applied for 2 min to facilitate the thermal dissolution of mature A</w:t>
      </w:r>
      <w:r w:rsidRPr="003E6136">
        <w:rPr>
          <w:rFonts w:ascii="Calibri" w:hAnsi="Calibri" w:cs="Calibri"/>
          <w:color w:val="000000"/>
          <w:shd w:val="clear" w:color="auto" w:fill="FFFFFF"/>
        </w:rPr>
        <w:t>β</w:t>
      </w:r>
      <w:r w:rsidRPr="003E6136">
        <w:rPr>
          <w:rFonts w:cs="Arial"/>
          <w:color w:val="000000"/>
          <w:shd w:val="clear" w:color="auto" w:fill="FFFFFF"/>
        </w:rPr>
        <w:t xml:space="preserve"> fibrils. Majority of A</w:t>
      </w:r>
      <w:r w:rsidRPr="003E6136">
        <w:rPr>
          <w:rFonts w:ascii="Calibri" w:hAnsi="Calibri" w:cs="Calibri"/>
          <w:color w:val="000000"/>
          <w:shd w:val="clear" w:color="auto" w:fill="FFFFFF"/>
        </w:rPr>
        <w:t>β</w:t>
      </w:r>
      <w:r w:rsidRPr="003E6136">
        <w:rPr>
          <w:rFonts w:cs="Arial"/>
          <w:color w:val="000000"/>
          <w:shd w:val="clear" w:color="auto" w:fill="FFFFFF"/>
        </w:rPr>
        <w:t xml:space="preserve"> fibrils are disintegrated into smaller fragments after exposure to NIR in the presence of </w:t>
      </w:r>
      <w:proofErr w:type="spellStart"/>
      <w:r w:rsidRPr="003E6136">
        <w:rPr>
          <w:rFonts w:cs="Arial"/>
          <w:color w:val="000000"/>
          <w:shd w:val="clear" w:color="auto" w:fill="FFFFFF"/>
        </w:rPr>
        <w:t>AuNR</w:t>
      </w:r>
      <w:proofErr w:type="spellEnd"/>
      <w:r w:rsidRPr="003E6136">
        <w:rPr>
          <w:rFonts w:cs="Arial"/>
          <w:color w:val="000000"/>
          <w:shd w:val="clear" w:color="auto" w:fill="FFFFFF"/>
        </w:rPr>
        <w:t>. Thus, the DMPC-</w:t>
      </w:r>
      <w:proofErr w:type="spellStart"/>
      <w:r w:rsidRPr="003E6136">
        <w:rPr>
          <w:rFonts w:cs="Arial"/>
          <w:color w:val="000000"/>
          <w:shd w:val="clear" w:color="auto" w:fill="FFFFFF"/>
        </w:rPr>
        <w:t>AuNRs</w:t>
      </w:r>
      <w:proofErr w:type="spellEnd"/>
      <w:r w:rsidRPr="003E6136">
        <w:rPr>
          <w:rFonts w:cs="Arial"/>
          <w:color w:val="000000"/>
          <w:shd w:val="clear" w:color="auto" w:fill="FFFFFF"/>
        </w:rPr>
        <w:t xml:space="preserve"> exhibit a dual effect: inhibition of fibrillation and NIR laser facilitated dissolution of mature amyloid fibrils. This study essentially provides guidelines to design efficient nanoparticle-based therapeutics for neurodegenerative diseases</w:t>
      </w:r>
      <w:r w:rsidR="00A9710C">
        <w:t>.</w:t>
      </w:r>
    </w:p>
    <w:p w:rsidR="00AE3E37" w:rsidRDefault="00A9710C">
      <w:pPr>
        <w:pStyle w:val="Heading3"/>
        <w:spacing w:before="74"/>
        <w:rPr>
          <w:color w:val="BF5A14"/>
        </w:rPr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3E6136" w:rsidRDefault="003E6136">
      <w:pPr>
        <w:pStyle w:val="Heading3"/>
        <w:spacing w:before="74"/>
      </w:pPr>
      <w:r>
        <w:rPr>
          <w:noProof/>
        </w:rPr>
        <w:drawing>
          <wp:inline distT="0" distB="0" distL="0" distR="0" wp14:anchorId="56B0E0C2" wp14:editId="0D2776BC">
            <wp:extent cx="3165475" cy="172974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1729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:rsidR="005973B9" w:rsidRDefault="005973B9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3E6136" w:rsidRDefault="003E6136" w:rsidP="005973B9">
      <w:pPr>
        <w:spacing w:line="204" w:lineRule="exact"/>
        <w:rPr>
          <w:rFonts w:ascii="Arial"/>
          <w:b/>
          <w:sz w:val="20"/>
        </w:rPr>
      </w:pPr>
    </w:p>
    <w:p w:rsidR="003E6136" w:rsidRPr="003E6136" w:rsidRDefault="003E6136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asciiTheme="minorHAnsi" w:hAnsiTheme="minorHAnsi" w:cstheme="minorHAnsi"/>
          <w:sz w:val="18"/>
          <w:szCs w:val="18"/>
        </w:rPr>
      </w:pPr>
      <w:r w:rsidRPr="003E6136">
        <w:rPr>
          <w:rFonts w:asciiTheme="minorHAnsi" w:hAnsiTheme="minorHAnsi" w:cstheme="minorHAnsi"/>
          <w:sz w:val="18"/>
          <w:szCs w:val="18"/>
        </w:rPr>
        <w:t>Jakob-</w:t>
      </w:r>
      <w:proofErr w:type="spellStart"/>
      <w:r w:rsidRPr="003E6136">
        <w:rPr>
          <w:rFonts w:asciiTheme="minorHAnsi" w:hAnsiTheme="minorHAnsi" w:cstheme="minorHAnsi"/>
          <w:sz w:val="18"/>
          <w:szCs w:val="18"/>
        </w:rPr>
        <w:t>Roetne</w:t>
      </w:r>
      <w:proofErr w:type="spellEnd"/>
      <w:r w:rsidRPr="003E6136">
        <w:rPr>
          <w:rFonts w:asciiTheme="minorHAnsi" w:hAnsiTheme="minorHAnsi" w:cstheme="minorHAnsi"/>
          <w:sz w:val="18"/>
          <w:szCs w:val="18"/>
        </w:rPr>
        <w:t>, R., and Jacobsen, H. (2009) Alzheimer’s disease:</w:t>
      </w:r>
      <w:r w:rsidRPr="003E6136">
        <w:rPr>
          <w:rFonts w:asciiTheme="minorHAnsi" w:hAnsiTheme="minorHAnsi" w:cstheme="minorHAnsi"/>
          <w:sz w:val="18"/>
          <w:szCs w:val="18"/>
        </w:rPr>
        <w:t xml:space="preserve"> </w:t>
      </w:r>
      <w:r w:rsidRPr="003E6136">
        <w:rPr>
          <w:rFonts w:asciiTheme="minorHAnsi" w:hAnsiTheme="minorHAnsi" w:cstheme="minorHAnsi"/>
          <w:sz w:val="18"/>
          <w:szCs w:val="18"/>
        </w:rPr>
        <w:t xml:space="preserve">from pathology to therapeutic approaches. </w:t>
      </w:r>
      <w:proofErr w:type="spellStart"/>
      <w:r w:rsidRPr="003E6136">
        <w:rPr>
          <w:rFonts w:asciiTheme="minorHAnsi" w:hAnsiTheme="minorHAnsi" w:cstheme="minorHAnsi"/>
          <w:sz w:val="18"/>
          <w:szCs w:val="18"/>
        </w:rPr>
        <w:t>Angew</w:t>
      </w:r>
      <w:proofErr w:type="spellEnd"/>
      <w:r w:rsidRPr="003E6136">
        <w:rPr>
          <w:rFonts w:asciiTheme="minorHAnsi" w:hAnsiTheme="minorHAnsi" w:cstheme="minorHAnsi"/>
          <w:sz w:val="18"/>
          <w:szCs w:val="18"/>
        </w:rPr>
        <w:t xml:space="preserve">. Chem., Int. Ed. 48, 3030−3059. </w:t>
      </w:r>
    </w:p>
    <w:p w:rsidR="003E6136" w:rsidRPr="003E6136" w:rsidRDefault="003E6136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asciiTheme="minorHAnsi" w:hAnsiTheme="minorHAnsi" w:cstheme="minorHAnsi"/>
          <w:sz w:val="18"/>
          <w:szCs w:val="18"/>
        </w:rPr>
      </w:pPr>
      <w:r w:rsidRPr="003E6136">
        <w:rPr>
          <w:rFonts w:asciiTheme="minorHAnsi" w:hAnsiTheme="minorHAnsi" w:cstheme="minorHAnsi"/>
          <w:sz w:val="18"/>
          <w:szCs w:val="18"/>
        </w:rPr>
        <w:t xml:space="preserve">Mann, D. M. (1996) Pyramidal nerve cell loss in Alzheimer’s disease. Neurodegeneration 5, 423−427. </w:t>
      </w:r>
    </w:p>
    <w:p w:rsidR="003E6136" w:rsidRPr="003E6136" w:rsidRDefault="003E6136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asciiTheme="minorHAnsi" w:hAnsiTheme="minorHAnsi" w:cstheme="minorHAnsi"/>
          <w:sz w:val="18"/>
          <w:szCs w:val="18"/>
        </w:rPr>
      </w:pPr>
      <w:r w:rsidRPr="003E6136">
        <w:rPr>
          <w:rFonts w:asciiTheme="minorHAnsi" w:hAnsiTheme="minorHAnsi" w:cstheme="minorHAnsi"/>
          <w:sz w:val="18"/>
          <w:szCs w:val="18"/>
        </w:rPr>
        <w:t xml:space="preserve">Norfray, J. F., and </w:t>
      </w:r>
      <w:proofErr w:type="spellStart"/>
      <w:r w:rsidRPr="003E6136">
        <w:rPr>
          <w:rFonts w:asciiTheme="minorHAnsi" w:hAnsiTheme="minorHAnsi" w:cstheme="minorHAnsi"/>
          <w:sz w:val="18"/>
          <w:szCs w:val="18"/>
        </w:rPr>
        <w:t>Provenzale</w:t>
      </w:r>
      <w:proofErr w:type="spellEnd"/>
      <w:r w:rsidRPr="003E6136">
        <w:rPr>
          <w:rFonts w:asciiTheme="minorHAnsi" w:hAnsiTheme="minorHAnsi" w:cstheme="minorHAnsi"/>
          <w:sz w:val="18"/>
          <w:szCs w:val="18"/>
        </w:rPr>
        <w:t xml:space="preserve">, J. M. (2004) Alzheimer’s Disease: Neuropathologic Findings and Recent Advances in Imaging. AJR, Am. J. </w:t>
      </w:r>
      <w:proofErr w:type="spellStart"/>
      <w:r w:rsidRPr="003E6136">
        <w:rPr>
          <w:rFonts w:asciiTheme="minorHAnsi" w:hAnsiTheme="minorHAnsi" w:cstheme="minorHAnsi"/>
          <w:sz w:val="18"/>
          <w:szCs w:val="18"/>
        </w:rPr>
        <w:t>Roentgenol</w:t>
      </w:r>
      <w:proofErr w:type="spellEnd"/>
      <w:r w:rsidRPr="003E6136">
        <w:rPr>
          <w:rFonts w:asciiTheme="minorHAnsi" w:hAnsiTheme="minorHAnsi" w:cstheme="minorHAnsi"/>
          <w:sz w:val="18"/>
          <w:szCs w:val="18"/>
        </w:rPr>
        <w:t xml:space="preserve">. 182, 3−13. </w:t>
      </w:r>
    </w:p>
    <w:p w:rsidR="003E6136" w:rsidRPr="003E6136" w:rsidRDefault="003E6136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asciiTheme="minorHAnsi" w:hAnsiTheme="minorHAnsi" w:cstheme="minorHAnsi"/>
          <w:sz w:val="18"/>
          <w:szCs w:val="18"/>
        </w:rPr>
      </w:pPr>
      <w:r w:rsidRPr="003E6136">
        <w:rPr>
          <w:rFonts w:asciiTheme="minorHAnsi" w:hAnsiTheme="minorHAnsi" w:cstheme="minorHAnsi"/>
          <w:sz w:val="18"/>
          <w:szCs w:val="18"/>
        </w:rPr>
        <w:t>Selkoe, D. J. (2002) Alzheimer’s Disease Is a Synaptic Failure. Science 298, 789−791.</w:t>
      </w:r>
    </w:p>
    <w:p w:rsidR="003E6136" w:rsidRPr="003E6136" w:rsidRDefault="003E6136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asciiTheme="minorHAnsi" w:hAnsiTheme="minorHAnsi" w:cstheme="minorHAnsi"/>
          <w:sz w:val="18"/>
          <w:szCs w:val="18"/>
        </w:rPr>
      </w:pPr>
      <w:r w:rsidRPr="003E6136">
        <w:rPr>
          <w:rFonts w:asciiTheme="minorHAnsi" w:hAnsiTheme="minorHAnsi" w:cstheme="minorHAnsi"/>
          <w:sz w:val="18"/>
          <w:szCs w:val="18"/>
        </w:rPr>
        <w:t xml:space="preserve"> </w:t>
      </w:r>
      <w:r w:rsidRPr="003E6136">
        <w:rPr>
          <w:rFonts w:asciiTheme="minorHAnsi" w:hAnsiTheme="minorHAnsi" w:cstheme="minorHAnsi"/>
          <w:sz w:val="18"/>
          <w:szCs w:val="18"/>
        </w:rPr>
        <w:t>Selkoe, D. J. (1997) Alzheimer’s Disease–Genotypes, Phenotype, and Treatments. Science 275, 630−631.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79BAD2A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535A5E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</w:t>
      </w:r>
      <w:bookmarkStart w:id="0" w:name="_GoBack"/>
      <w:bookmarkEnd w:id="0"/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535A5E" w:rsidP="00535A5E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Swathi sudhakar</w:t>
      </w:r>
      <w:r w:rsidR="00A9710C">
        <w:rPr>
          <w:rFonts w:ascii="Arial"/>
          <w:sz w:val="14"/>
        </w:rPr>
        <w:t xml:space="preserve"> has her expertise in </w:t>
      </w:r>
      <w:r>
        <w:rPr>
          <w:rFonts w:ascii="Arial"/>
          <w:sz w:val="14"/>
        </w:rPr>
        <w:t xml:space="preserve">the field of synthesizing and characterizing nanoparticle for bio medical application 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84608C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3C04" w:rsidRDefault="000F3C04">
      <w:r>
        <w:separator/>
      </w:r>
    </w:p>
  </w:endnote>
  <w:endnote w:type="continuationSeparator" w:id="0">
    <w:p w:rsidR="000F3C04" w:rsidRDefault="000F3C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3C04" w:rsidRDefault="000F3C04">
      <w:r>
        <w:separator/>
      </w:r>
    </w:p>
  </w:footnote>
  <w:footnote w:type="continuationSeparator" w:id="0">
    <w:p w:rsidR="000F3C04" w:rsidRDefault="000F3C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0F3C04"/>
    <w:rsid w:val="001263DF"/>
    <w:rsid w:val="002455EC"/>
    <w:rsid w:val="00292ED9"/>
    <w:rsid w:val="003E6136"/>
    <w:rsid w:val="00404E5B"/>
    <w:rsid w:val="00414F7B"/>
    <w:rsid w:val="004355DC"/>
    <w:rsid w:val="004749B4"/>
    <w:rsid w:val="00494130"/>
    <w:rsid w:val="004F3523"/>
    <w:rsid w:val="00535A5E"/>
    <w:rsid w:val="005973B9"/>
    <w:rsid w:val="005B3A56"/>
    <w:rsid w:val="006060CE"/>
    <w:rsid w:val="0063497F"/>
    <w:rsid w:val="00873DF0"/>
    <w:rsid w:val="008756E6"/>
    <w:rsid w:val="008A08B6"/>
    <w:rsid w:val="009B2D44"/>
    <w:rsid w:val="00A07E82"/>
    <w:rsid w:val="00A9710C"/>
    <w:rsid w:val="00AE3E37"/>
    <w:rsid w:val="00B21A57"/>
    <w:rsid w:val="00C33602"/>
    <w:rsid w:val="00CD6F55"/>
    <w:rsid w:val="00DE3104"/>
    <w:rsid w:val="00E26B10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4B6B47"/>
  <w15:docId w15:val="{A9EF75BE-33E5-4C5E-BD01-7BE13DFDA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3E613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swathi sudhakar</cp:lastModifiedBy>
  <cp:revision>2</cp:revision>
  <dcterms:created xsi:type="dcterms:W3CDTF">2017-08-18T08:41:00Z</dcterms:created>
  <dcterms:modified xsi:type="dcterms:W3CDTF">2017-08-18T08:41:00Z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