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85D" w:rsidRDefault="005D4C0F" w:rsidP="00A7585D">
      <w:pPr>
        <w:autoSpaceDE w:val="0"/>
        <w:autoSpaceDN w:val="0"/>
        <w:adjustRightInd w:val="0"/>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Mechanical and Thermal </w:t>
      </w:r>
      <w:r w:rsidR="005705D4">
        <w:rPr>
          <w:rFonts w:ascii="Times New Roman" w:hAnsi="Times New Roman" w:cs="Times New Roman"/>
          <w:b/>
          <w:bCs/>
          <w:sz w:val="24"/>
          <w:szCs w:val="24"/>
        </w:rPr>
        <w:t>Characteristics</w:t>
      </w:r>
      <w:r w:rsidR="00A7585D">
        <w:rPr>
          <w:rFonts w:ascii="Times New Roman" w:hAnsi="Times New Roman" w:cs="Times New Roman"/>
          <w:b/>
          <w:bCs/>
          <w:sz w:val="24"/>
          <w:szCs w:val="24"/>
        </w:rPr>
        <w:t xml:space="preserve"> of solvent blended EPDM/neoprene </w:t>
      </w:r>
      <w:r>
        <w:rPr>
          <w:rFonts w:ascii="Times New Roman" w:hAnsi="Times New Roman" w:cs="Times New Roman"/>
          <w:b/>
          <w:bCs/>
          <w:sz w:val="24"/>
          <w:szCs w:val="24"/>
        </w:rPr>
        <w:t>Clay Nanocomposites</w:t>
      </w:r>
      <w:r w:rsidR="00471FBE">
        <w:rPr>
          <w:rFonts w:ascii="Times New Roman" w:hAnsi="Times New Roman" w:cs="Times New Roman"/>
          <w:b/>
          <w:bCs/>
          <w:sz w:val="24"/>
          <w:szCs w:val="24"/>
        </w:rPr>
        <w:t xml:space="preserve">: </w:t>
      </w:r>
      <w:r w:rsidR="00A7585D">
        <w:rPr>
          <w:rFonts w:ascii="Times New Roman" w:hAnsi="Times New Roman" w:cs="Times New Roman"/>
          <w:b/>
          <w:bCs/>
          <w:sz w:val="24"/>
          <w:szCs w:val="24"/>
        </w:rPr>
        <w:t xml:space="preserve">A </w:t>
      </w:r>
      <w:r>
        <w:rPr>
          <w:rFonts w:ascii="Times New Roman" w:hAnsi="Times New Roman" w:cs="Times New Roman"/>
          <w:b/>
          <w:bCs/>
          <w:sz w:val="24"/>
          <w:szCs w:val="24"/>
        </w:rPr>
        <w:t>Comparative Study</w:t>
      </w:r>
    </w:p>
    <w:p w:rsidR="00A7585D" w:rsidRDefault="00A7585D" w:rsidP="00A7585D">
      <w:pPr>
        <w:pStyle w:val="Heading2"/>
        <w:spacing w:line="360" w:lineRule="auto"/>
        <w:rPr>
          <w:vertAlign w:val="superscript"/>
        </w:rPr>
      </w:pPr>
      <w:r>
        <w:t>S. Ginil Mon</w:t>
      </w:r>
      <w:r>
        <w:rPr>
          <w:vertAlign w:val="superscript"/>
        </w:rPr>
        <w:t>a*</w:t>
      </w:r>
      <w:r>
        <w:t xml:space="preserve">, Y. Jaya </w:t>
      </w:r>
      <w:proofErr w:type="spellStart"/>
      <w:r>
        <w:t>Vinse</w:t>
      </w:r>
      <w:proofErr w:type="spellEnd"/>
      <w:r>
        <w:t xml:space="preserve"> </w:t>
      </w:r>
      <w:proofErr w:type="spellStart"/>
      <w:r>
        <w:t>Ruban</w:t>
      </w:r>
      <w:r>
        <w:rPr>
          <w:vertAlign w:val="superscript"/>
        </w:rPr>
        <w:t>b</w:t>
      </w:r>
      <w:proofErr w:type="spellEnd"/>
      <w:r>
        <w:t xml:space="preserve">, D. </w:t>
      </w:r>
      <w:proofErr w:type="spellStart"/>
      <w:r>
        <w:t>Vetha</w:t>
      </w:r>
      <w:proofErr w:type="spellEnd"/>
      <w:r>
        <w:t xml:space="preserve"> </w:t>
      </w:r>
      <w:proofErr w:type="spellStart"/>
      <w:r>
        <w:t>Roy</w:t>
      </w:r>
      <w:r>
        <w:rPr>
          <w:vertAlign w:val="superscript"/>
        </w:rPr>
        <w:t>c</w:t>
      </w:r>
      <w:proofErr w:type="spellEnd"/>
    </w:p>
    <w:p w:rsidR="00A7585D" w:rsidRDefault="00A7585D" w:rsidP="00A7585D">
      <w:pPr>
        <w:spacing w:after="0" w:line="360" w:lineRule="auto"/>
        <w:jc w:val="center"/>
        <w:rPr>
          <w:rFonts w:ascii="Times New Roman" w:hAnsi="Times New Roman" w:cs="Times New Roman"/>
          <w:sz w:val="24"/>
          <w:szCs w:val="24"/>
        </w:rPr>
      </w:pPr>
      <w:r>
        <w:rPr>
          <w:rFonts w:ascii="Times New Roman" w:hAnsi="Times New Roman"/>
          <w:bCs/>
          <w:sz w:val="24"/>
          <w:szCs w:val="24"/>
          <w:vertAlign w:val="superscript"/>
        </w:rPr>
        <w:t xml:space="preserve">a </w:t>
      </w:r>
      <w:r>
        <w:rPr>
          <w:rFonts w:ascii="Times New Roman" w:hAnsi="Times New Roman" w:cs="Times New Roman"/>
          <w:sz w:val="24"/>
          <w:szCs w:val="24"/>
        </w:rPr>
        <w:t>Department of Chemistry &amp; Research, Nesamony Memorial Christian College,       Marthandam-629 165</w:t>
      </w:r>
      <w:r>
        <w:rPr>
          <w:rFonts w:ascii="Times New Roman" w:hAnsi="Times New Roman" w:cs="Times New Roman"/>
          <w:bCs/>
          <w:sz w:val="24"/>
          <w:szCs w:val="24"/>
        </w:rPr>
        <w:t xml:space="preserve">, Tamil Nadu, India, </w:t>
      </w:r>
      <w:r>
        <w:rPr>
          <w:rFonts w:ascii="Times New Roman" w:hAnsi="Times New Roman" w:cs="Times New Roman"/>
          <w:sz w:val="24"/>
          <w:szCs w:val="24"/>
        </w:rPr>
        <w:t xml:space="preserve">E-mail: </w:t>
      </w:r>
      <w:hyperlink r:id="rId4" w:history="1">
        <w:r>
          <w:rPr>
            <w:rStyle w:val="Hyperlink"/>
            <w:rFonts w:ascii="Times New Roman" w:eastAsia="Calibri" w:hAnsi="Times New Roman"/>
            <w:sz w:val="24"/>
          </w:rPr>
          <w:t>therocksgm@yahoo.com</w:t>
        </w:r>
      </w:hyperlink>
      <w:r>
        <w:rPr>
          <w:rFonts w:ascii="Times New Roman" w:hAnsi="Times New Roman" w:cs="Times New Roman"/>
          <w:sz w:val="24"/>
          <w:szCs w:val="24"/>
        </w:rPr>
        <w:t xml:space="preserve">, </w:t>
      </w:r>
    </w:p>
    <w:p w:rsidR="00A7585D" w:rsidRDefault="00A7585D" w:rsidP="00A7585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Mobile No. +91-9994029920, Fax No. +91-4651-272059</w:t>
      </w:r>
    </w:p>
    <w:p w:rsidR="00A7585D" w:rsidRDefault="00A7585D" w:rsidP="00A7585D">
      <w:pPr>
        <w:spacing w:after="0" w:line="360" w:lineRule="auto"/>
        <w:jc w:val="center"/>
        <w:rPr>
          <w:rFonts w:ascii="Times New Roman" w:hAnsi="Times New Roman" w:cs="Times New Roman"/>
          <w:sz w:val="24"/>
          <w:szCs w:val="24"/>
        </w:rPr>
      </w:pPr>
      <w:proofErr w:type="gramStart"/>
      <w:r>
        <w:rPr>
          <w:rFonts w:ascii="Times New Roman" w:hAnsi="Times New Roman" w:cs="Times New Roman"/>
          <w:sz w:val="24"/>
          <w:szCs w:val="24"/>
          <w:vertAlign w:val="superscript"/>
        </w:rPr>
        <w:t>b</w:t>
      </w:r>
      <w:proofErr w:type="gramEnd"/>
      <w:r>
        <w:rPr>
          <w:rFonts w:ascii="Times New Roman" w:hAnsi="Times New Roman" w:cs="Times New Roman"/>
          <w:sz w:val="24"/>
          <w:szCs w:val="24"/>
          <w:vertAlign w:val="superscript"/>
        </w:rPr>
        <w:t xml:space="preserve"> </w:t>
      </w:r>
      <w:r>
        <w:rPr>
          <w:rFonts w:ascii="Times New Roman" w:hAnsi="Times New Roman" w:cs="Times New Roman"/>
          <w:bCs/>
          <w:sz w:val="24"/>
          <w:szCs w:val="24"/>
        </w:rPr>
        <w:t>Department of Chemistry &amp; Research, St. Xavier’s College (Autonomous),            Palayamkottai, Tirunelveli-627 002, Tamil Nadu, India</w:t>
      </w:r>
    </w:p>
    <w:p w:rsidR="00A7585D" w:rsidRDefault="00A7585D" w:rsidP="00A7585D">
      <w:pPr>
        <w:pStyle w:val="Heading2"/>
        <w:spacing w:line="360" w:lineRule="auto"/>
        <w:rPr>
          <w:b w:val="0"/>
          <w:bCs w:val="0"/>
        </w:rPr>
      </w:pPr>
      <w:proofErr w:type="gramStart"/>
      <w:r>
        <w:rPr>
          <w:b w:val="0"/>
          <w:bCs w:val="0"/>
          <w:vertAlign w:val="superscript"/>
        </w:rPr>
        <w:t>c</w:t>
      </w:r>
      <w:proofErr w:type="gramEnd"/>
      <w:r>
        <w:rPr>
          <w:b w:val="0"/>
          <w:bCs w:val="0"/>
          <w:vertAlign w:val="superscript"/>
        </w:rPr>
        <w:t xml:space="preserve"> </w:t>
      </w:r>
      <w:r>
        <w:rPr>
          <w:b w:val="0"/>
          <w:bCs w:val="0"/>
        </w:rPr>
        <w:t>Polymer Nanocomposite Centre, Department of Chemistry &amp; Research</w:t>
      </w:r>
    </w:p>
    <w:p w:rsidR="00A7585D" w:rsidRDefault="00A7585D" w:rsidP="00A7585D">
      <w:pPr>
        <w:pStyle w:val="Heading2"/>
        <w:spacing w:line="360" w:lineRule="auto"/>
        <w:rPr>
          <w:b w:val="0"/>
        </w:rPr>
      </w:pPr>
      <w:r>
        <w:rPr>
          <w:b w:val="0"/>
          <w:bCs w:val="0"/>
        </w:rPr>
        <w:t>Scott Christian College (Autonomous), Nagercoil- 629003, Tamil Nadu, India</w:t>
      </w:r>
    </w:p>
    <w:p w:rsidR="00A7585D" w:rsidRDefault="00A7585D" w:rsidP="00A7585D">
      <w:pPr>
        <w:spacing w:after="0" w:line="360" w:lineRule="auto"/>
        <w:jc w:val="both"/>
        <w:rPr>
          <w:rFonts w:ascii="Times New Roman" w:hAnsi="Times New Roman" w:cs="Times New Roman"/>
          <w:b/>
          <w:sz w:val="24"/>
          <w:szCs w:val="24"/>
        </w:rPr>
      </w:pPr>
    </w:p>
    <w:p w:rsidR="00A7585D" w:rsidRDefault="00A7585D" w:rsidP="00A7585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061959" w:rsidRDefault="00A7585D" w:rsidP="004872F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D5605" w:rsidRPr="003E3F5D">
        <w:rPr>
          <w:rFonts w:ascii="Times New Roman" w:hAnsi="Times New Roman" w:cs="Times New Roman"/>
          <w:sz w:val="24"/>
          <w:szCs w:val="24"/>
        </w:rPr>
        <w:t>N</w:t>
      </w:r>
      <w:r w:rsidR="00A24117" w:rsidRPr="000977AB">
        <w:rPr>
          <w:rFonts w:ascii="Times New Roman" w:hAnsi="Times New Roman"/>
          <w:sz w:val="24"/>
          <w:szCs w:val="24"/>
        </w:rPr>
        <w:t>anocomposites have definite advantages over conventional</w:t>
      </w:r>
      <w:r w:rsidR="00F14032">
        <w:rPr>
          <w:rFonts w:ascii="Times New Roman" w:hAnsi="Times New Roman"/>
          <w:sz w:val="24"/>
          <w:szCs w:val="24"/>
        </w:rPr>
        <w:t xml:space="preserve"> composites due to their light</w:t>
      </w:r>
      <w:r w:rsidR="00A24117" w:rsidRPr="000977AB">
        <w:rPr>
          <w:rFonts w:ascii="Times New Roman" w:hAnsi="Times New Roman"/>
          <w:sz w:val="24"/>
          <w:szCs w:val="24"/>
        </w:rPr>
        <w:t xml:space="preserve"> weight, low c</w:t>
      </w:r>
      <w:r w:rsidR="007F5E67">
        <w:rPr>
          <w:rFonts w:ascii="Times New Roman" w:hAnsi="Times New Roman"/>
          <w:sz w:val="24"/>
          <w:szCs w:val="24"/>
        </w:rPr>
        <w:t>ost and excellent</w:t>
      </w:r>
      <w:r w:rsidR="00A24117" w:rsidRPr="000977AB">
        <w:rPr>
          <w:rFonts w:ascii="Times New Roman" w:hAnsi="Times New Roman"/>
          <w:sz w:val="24"/>
          <w:szCs w:val="24"/>
        </w:rPr>
        <w:t xml:space="preserve"> mechanical, thermal, optical and electrical properties.</w:t>
      </w:r>
      <w:r w:rsidR="00A24117">
        <w:rPr>
          <w:rFonts w:ascii="Times New Roman" w:hAnsi="Times New Roman"/>
          <w:sz w:val="24"/>
          <w:szCs w:val="24"/>
        </w:rPr>
        <w:t xml:space="preserve"> </w:t>
      </w:r>
      <w:r w:rsidR="00A24117" w:rsidRPr="000977AB">
        <w:rPr>
          <w:rFonts w:ascii="Times New Roman" w:hAnsi="Times New Roman"/>
          <w:sz w:val="24"/>
          <w:szCs w:val="24"/>
        </w:rPr>
        <w:t xml:space="preserve">Clays and layered silicates </w:t>
      </w:r>
      <w:r w:rsidR="007F5E67">
        <w:rPr>
          <w:rFonts w:ascii="Times New Roman" w:hAnsi="Times New Roman"/>
          <w:sz w:val="24"/>
          <w:szCs w:val="24"/>
        </w:rPr>
        <w:t>are well suited</w:t>
      </w:r>
      <w:r w:rsidR="00A24117">
        <w:rPr>
          <w:rFonts w:ascii="Times New Roman" w:hAnsi="Times New Roman"/>
          <w:sz w:val="24"/>
          <w:szCs w:val="24"/>
        </w:rPr>
        <w:t xml:space="preserve"> for this purpose </w:t>
      </w:r>
      <w:r w:rsidR="003E38C0">
        <w:rPr>
          <w:rFonts w:ascii="Times New Roman" w:hAnsi="Times New Roman"/>
          <w:sz w:val="24"/>
          <w:szCs w:val="24"/>
        </w:rPr>
        <w:t>as they provide</w:t>
      </w:r>
      <w:r w:rsidR="00A24117" w:rsidRPr="000977AB">
        <w:rPr>
          <w:rFonts w:ascii="Times New Roman" w:hAnsi="Times New Roman"/>
          <w:sz w:val="24"/>
          <w:szCs w:val="24"/>
        </w:rPr>
        <w:t xml:space="preserve"> poly</w:t>
      </w:r>
      <w:r w:rsidR="003E38C0">
        <w:rPr>
          <w:rFonts w:ascii="Times New Roman" w:hAnsi="Times New Roman"/>
          <w:sz w:val="24"/>
          <w:szCs w:val="24"/>
        </w:rPr>
        <w:t>mer-clay nanocomposites (PCNs) and</w:t>
      </w:r>
      <w:r w:rsidR="00A24117" w:rsidRPr="000977AB">
        <w:rPr>
          <w:rFonts w:ascii="Times New Roman" w:hAnsi="Times New Roman"/>
          <w:sz w:val="24"/>
          <w:szCs w:val="24"/>
        </w:rPr>
        <w:t xml:space="preserve"> polymer-layered silicate nanocomposites (PLSNs). </w:t>
      </w:r>
      <w:r w:rsidR="00A24117">
        <w:rPr>
          <w:rFonts w:ascii="Times New Roman" w:hAnsi="Times New Roman"/>
          <w:sz w:val="24"/>
          <w:szCs w:val="24"/>
        </w:rPr>
        <w:t>E</w:t>
      </w:r>
      <w:r w:rsidR="00A24117" w:rsidRPr="000977AB">
        <w:rPr>
          <w:rFonts w:ascii="Times New Roman" w:hAnsi="Times New Roman"/>
          <w:sz w:val="24"/>
          <w:szCs w:val="24"/>
        </w:rPr>
        <w:t>lastomers and rubbers are very promising polymeric matrices for the preparation of PCNs because</w:t>
      </w:r>
      <w:r w:rsidR="00A24117">
        <w:rPr>
          <w:rFonts w:ascii="Times New Roman" w:hAnsi="Times New Roman"/>
          <w:sz w:val="24"/>
          <w:szCs w:val="24"/>
        </w:rPr>
        <w:t xml:space="preserve"> of their </w:t>
      </w:r>
      <w:r w:rsidR="003D1B0F">
        <w:rPr>
          <w:rFonts w:ascii="Times New Roman" w:hAnsi="Times New Roman"/>
          <w:sz w:val="24"/>
          <w:szCs w:val="24"/>
        </w:rPr>
        <w:t>multi-</w:t>
      </w:r>
      <w:r w:rsidR="00061959">
        <w:rPr>
          <w:rFonts w:ascii="Times New Roman" w:hAnsi="Times New Roman"/>
          <w:sz w:val="24"/>
          <w:szCs w:val="24"/>
        </w:rPr>
        <w:t>characteristic applications</w:t>
      </w:r>
      <w:r w:rsidR="00A24117">
        <w:rPr>
          <w:rFonts w:ascii="Times New Roman" w:hAnsi="Times New Roman"/>
          <w:sz w:val="24"/>
          <w:szCs w:val="24"/>
        </w:rPr>
        <w:t>.</w:t>
      </w:r>
      <w:r w:rsidR="004872F6">
        <w:rPr>
          <w:rFonts w:ascii="Times New Roman" w:hAnsi="Times New Roman"/>
          <w:sz w:val="24"/>
          <w:szCs w:val="24"/>
        </w:rPr>
        <w:t xml:space="preserve"> </w:t>
      </w:r>
      <w:r>
        <w:rPr>
          <w:rFonts w:ascii="Times New Roman" w:hAnsi="Times New Roman" w:cs="Times New Roman"/>
          <w:sz w:val="24"/>
          <w:szCs w:val="24"/>
        </w:rPr>
        <w:t xml:space="preserve">Non-polar EPDM demands polar inducement in the form of compatibilizing agents for getting a homogeneous blend with neoprene. </w:t>
      </w:r>
    </w:p>
    <w:p w:rsidR="00CC6AD5" w:rsidRDefault="00A7585D" w:rsidP="00CC6AD5">
      <w:pPr>
        <w:spacing w:after="0" w:line="360" w:lineRule="auto"/>
        <w:ind w:firstLine="720"/>
        <w:jc w:val="both"/>
        <w:rPr>
          <w:rFonts w:ascii="Times New Roman" w:hAnsi="Times New Roman"/>
          <w:sz w:val="24"/>
          <w:szCs w:val="24"/>
        </w:rPr>
      </w:pPr>
      <w:r>
        <w:rPr>
          <w:rFonts w:ascii="Times New Roman" w:hAnsi="Times New Roman" w:cs="Times New Roman"/>
          <w:sz w:val="24"/>
          <w:szCs w:val="24"/>
        </w:rPr>
        <w:t>EPDM/neoprene matrices</w:t>
      </w:r>
      <w:r w:rsidR="00061959">
        <w:rPr>
          <w:rFonts w:ascii="Times New Roman" w:hAnsi="Times New Roman" w:cs="Times New Roman"/>
          <w:sz w:val="24"/>
          <w:szCs w:val="24"/>
        </w:rPr>
        <w:t xml:space="preserve"> are</w:t>
      </w:r>
      <w:r w:rsidR="00AD7C9B">
        <w:rPr>
          <w:rFonts w:ascii="Times New Roman" w:hAnsi="Times New Roman" w:cs="Times New Roman"/>
          <w:sz w:val="24"/>
          <w:szCs w:val="24"/>
        </w:rPr>
        <w:t xml:space="preserve"> prepared</w:t>
      </w:r>
      <w:r>
        <w:rPr>
          <w:rFonts w:ascii="Times New Roman" w:hAnsi="Times New Roman" w:cs="Times New Roman"/>
          <w:sz w:val="24"/>
          <w:szCs w:val="24"/>
        </w:rPr>
        <w:t xml:space="preserve"> by solvent blending without any compatibilizing agents. </w:t>
      </w:r>
      <w:r w:rsidR="00061959">
        <w:rPr>
          <w:rFonts w:ascii="Times New Roman" w:hAnsi="Times New Roman" w:cs="Times New Roman"/>
          <w:sz w:val="24"/>
          <w:szCs w:val="24"/>
        </w:rPr>
        <w:t>Morphological studies</w:t>
      </w:r>
      <w:r>
        <w:rPr>
          <w:rFonts w:ascii="Times New Roman" w:hAnsi="Times New Roman" w:cs="Times New Roman"/>
          <w:sz w:val="24"/>
          <w:szCs w:val="24"/>
        </w:rPr>
        <w:t xml:space="preserve"> and single </w:t>
      </w:r>
      <w:proofErr w:type="spellStart"/>
      <w:proofErr w:type="gramStart"/>
      <w:r>
        <w:rPr>
          <w:rFonts w:ascii="Times New Roman" w:hAnsi="Times New Roman" w:cs="Times New Roman"/>
          <w:sz w:val="24"/>
          <w:szCs w:val="24"/>
        </w:rPr>
        <w:t>T</w:t>
      </w:r>
      <w:r>
        <w:rPr>
          <w:rFonts w:ascii="Times New Roman" w:hAnsi="Times New Roman" w:cs="Times New Roman"/>
          <w:sz w:val="24"/>
          <w:szCs w:val="24"/>
          <w:vertAlign w:val="subscript"/>
        </w:rPr>
        <w:t>g</w:t>
      </w:r>
      <w:proofErr w:type="spellEnd"/>
      <w:proofErr w:type="gramEnd"/>
      <w:r w:rsidR="00061959">
        <w:rPr>
          <w:rFonts w:ascii="Times New Roman" w:hAnsi="Times New Roman" w:cs="Times New Roman"/>
          <w:sz w:val="24"/>
          <w:szCs w:val="24"/>
          <w:vertAlign w:val="subscript"/>
        </w:rPr>
        <w:t xml:space="preserve"> </w:t>
      </w:r>
      <w:r w:rsidR="00061959" w:rsidRPr="00061959">
        <w:rPr>
          <w:rFonts w:ascii="Times New Roman" w:hAnsi="Times New Roman" w:cs="Times New Roman"/>
          <w:sz w:val="24"/>
          <w:szCs w:val="24"/>
        </w:rPr>
        <w:t xml:space="preserve">values have established </w:t>
      </w:r>
      <w:r w:rsidR="00061959">
        <w:rPr>
          <w:rFonts w:ascii="Times New Roman" w:hAnsi="Times New Roman" w:cs="Times New Roman"/>
          <w:sz w:val="24"/>
          <w:szCs w:val="24"/>
        </w:rPr>
        <w:t xml:space="preserve">an </w:t>
      </w:r>
      <w:r w:rsidR="00061959" w:rsidRPr="00061959">
        <w:rPr>
          <w:rFonts w:ascii="Times New Roman" w:hAnsi="Times New Roman" w:cs="Times New Roman"/>
          <w:sz w:val="24"/>
          <w:szCs w:val="24"/>
        </w:rPr>
        <w:t>excellent compatibility of the blend</w:t>
      </w:r>
      <w:r w:rsidR="00061959">
        <w:rPr>
          <w:rFonts w:ascii="Times New Roman" w:hAnsi="Times New Roman" w:cs="Times New Roman"/>
          <w:sz w:val="24"/>
          <w:szCs w:val="24"/>
        </w:rPr>
        <w:t>, further</w:t>
      </w:r>
      <w:r>
        <w:rPr>
          <w:rFonts w:ascii="Times New Roman" w:hAnsi="Times New Roman" w:cs="Times New Roman"/>
          <w:sz w:val="24"/>
          <w:szCs w:val="24"/>
        </w:rPr>
        <w:t xml:space="preserve"> confirmed by </w:t>
      </w:r>
      <w:r w:rsidR="00061959">
        <w:rPr>
          <w:rFonts w:ascii="Times New Roman" w:hAnsi="Times New Roman" w:cs="Times New Roman"/>
          <w:sz w:val="24"/>
          <w:szCs w:val="24"/>
        </w:rPr>
        <w:t>their enhanced</w:t>
      </w:r>
      <w:r>
        <w:rPr>
          <w:rFonts w:ascii="Times New Roman" w:hAnsi="Times New Roman" w:cs="Times New Roman"/>
          <w:sz w:val="24"/>
          <w:szCs w:val="24"/>
        </w:rPr>
        <w:t xml:space="preserve"> mechanical characteristics.</w:t>
      </w:r>
      <w:r w:rsidR="0022642F">
        <w:rPr>
          <w:rFonts w:ascii="Times New Roman" w:hAnsi="Times New Roman" w:cs="Times New Roman"/>
          <w:sz w:val="24"/>
          <w:szCs w:val="24"/>
        </w:rPr>
        <w:t xml:space="preserve"> </w:t>
      </w:r>
      <w:proofErr w:type="spellStart"/>
      <w:r w:rsidR="00503609">
        <w:rPr>
          <w:rFonts w:ascii="Times New Roman" w:hAnsi="Times New Roman" w:cs="Times New Roman"/>
          <w:sz w:val="24"/>
          <w:szCs w:val="24"/>
        </w:rPr>
        <w:t>Organo</w:t>
      </w:r>
      <w:proofErr w:type="spellEnd"/>
      <w:r w:rsidR="00503609">
        <w:rPr>
          <w:rFonts w:ascii="Times New Roman" w:hAnsi="Times New Roman" w:cs="Times New Roman"/>
          <w:sz w:val="24"/>
          <w:szCs w:val="24"/>
        </w:rPr>
        <w:t xml:space="preserve">-modified MMT Clay (CA-MMT) and locally available Kaolinite </w:t>
      </w:r>
      <w:r w:rsidR="009561B4">
        <w:rPr>
          <w:rFonts w:ascii="Times New Roman" w:hAnsi="Times New Roman" w:cs="Times New Roman"/>
          <w:sz w:val="24"/>
          <w:szCs w:val="24"/>
        </w:rPr>
        <w:t>have been</w:t>
      </w:r>
      <w:r w:rsidR="00503609">
        <w:rPr>
          <w:rFonts w:ascii="Times New Roman" w:hAnsi="Times New Roman" w:cs="Times New Roman"/>
          <w:sz w:val="24"/>
          <w:szCs w:val="24"/>
        </w:rPr>
        <w:t xml:space="preserve"> filled in the EPDM/Neoprene matrices to prepare their respective nanocomposites. </w:t>
      </w:r>
      <w:r w:rsidR="00AF4BFA">
        <w:rPr>
          <w:rFonts w:ascii="Times New Roman" w:hAnsi="Times New Roman" w:cs="Times New Roman"/>
          <w:sz w:val="24"/>
          <w:szCs w:val="24"/>
        </w:rPr>
        <w:t xml:space="preserve">The CA-MMT is adjudged as the most efficient filler as shown by the comparative studies, even though kaolinite too has shown comparable characteristics in a few cases. </w:t>
      </w:r>
      <w:r w:rsidR="001C6AC4">
        <w:rPr>
          <w:rFonts w:ascii="Times New Roman" w:hAnsi="Times New Roman"/>
          <w:sz w:val="24"/>
          <w:szCs w:val="24"/>
        </w:rPr>
        <w:t>It is suggested that k</w:t>
      </w:r>
      <w:r w:rsidR="0022642F">
        <w:rPr>
          <w:rFonts w:ascii="Times New Roman" w:hAnsi="Times New Roman"/>
          <w:sz w:val="24"/>
          <w:szCs w:val="24"/>
        </w:rPr>
        <w:t xml:space="preserve">aolinite </w:t>
      </w:r>
      <w:r w:rsidR="00AF4BFA">
        <w:rPr>
          <w:rFonts w:ascii="Times New Roman" w:hAnsi="Times New Roman"/>
          <w:sz w:val="24"/>
          <w:szCs w:val="24"/>
        </w:rPr>
        <w:t xml:space="preserve">could be a promising filler to be modified further to attain still better results. </w:t>
      </w:r>
    </w:p>
    <w:p w:rsidR="00CC6AD5" w:rsidRDefault="00CC6AD5">
      <w:pPr>
        <w:spacing w:after="0" w:line="240" w:lineRule="auto"/>
        <w:rPr>
          <w:rFonts w:ascii="Times New Roman" w:hAnsi="Times New Roman"/>
          <w:sz w:val="24"/>
          <w:szCs w:val="24"/>
        </w:rPr>
      </w:pPr>
      <w:r>
        <w:rPr>
          <w:rFonts w:ascii="Times New Roman" w:hAnsi="Times New Roman"/>
          <w:sz w:val="24"/>
          <w:szCs w:val="24"/>
        </w:rPr>
        <w:br w:type="page"/>
      </w:r>
    </w:p>
    <w:p w:rsidR="00CC6AD5" w:rsidRDefault="00CC6AD5" w:rsidP="00CC6AD5">
      <w:pPr>
        <w:spacing w:after="0" w:line="360" w:lineRule="auto"/>
        <w:ind w:firstLine="720"/>
        <w:jc w:val="both"/>
        <w:rPr>
          <w:rFonts w:ascii="Times New Roman" w:hAnsi="Times New Roman"/>
          <w:sz w:val="24"/>
          <w:szCs w:val="24"/>
        </w:rPr>
      </w:pPr>
      <w:r w:rsidRPr="00CC6AD5">
        <w:rPr>
          <w:rFonts w:ascii="Times New Roman" w:hAnsi="Times New Roman"/>
          <w:noProof/>
          <w:sz w:val="24"/>
          <w:szCs w:val="24"/>
        </w:rPr>
        <w:lastRenderedPageBreak/>
        <w:drawing>
          <wp:inline distT="0" distB="0" distL="0" distR="0">
            <wp:extent cx="1704975" cy="2095500"/>
            <wp:effectExtent l="0" t="0" r="9525" b="0"/>
            <wp:docPr id="1" name="Picture 1" descr="E:\My Documents II\Pictures\People\Ginil Mon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y Documents II\Pictures\People\Ginil Mon Phot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04975" cy="2095500"/>
                    </a:xfrm>
                    <a:prstGeom prst="rect">
                      <a:avLst/>
                    </a:prstGeom>
                    <a:noFill/>
                    <a:ln>
                      <a:noFill/>
                    </a:ln>
                  </pic:spPr>
                </pic:pic>
              </a:graphicData>
            </a:graphic>
          </wp:inline>
        </w:drawing>
      </w:r>
    </w:p>
    <w:p w:rsidR="00CC6AD5" w:rsidRDefault="00CC6AD5" w:rsidP="00CC6AD5">
      <w:pPr>
        <w:spacing w:after="0" w:line="360" w:lineRule="auto"/>
        <w:ind w:firstLine="720"/>
        <w:jc w:val="both"/>
        <w:rPr>
          <w:rFonts w:ascii="Times New Roman" w:hAnsi="Times New Roman"/>
          <w:sz w:val="24"/>
          <w:szCs w:val="24"/>
        </w:rPr>
      </w:pPr>
    </w:p>
    <w:p w:rsidR="00CC6AD5" w:rsidRPr="00CC6AD5" w:rsidRDefault="00CC6AD5" w:rsidP="00CC6AD5">
      <w:pPr>
        <w:spacing w:after="0" w:line="360" w:lineRule="auto"/>
        <w:ind w:firstLine="720"/>
        <w:jc w:val="both"/>
        <w:rPr>
          <w:rFonts w:ascii="Times New Roman" w:hAnsi="Times New Roman" w:cs="Times New Roman"/>
          <w:sz w:val="24"/>
          <w:szCs w:val="24"/>
        </w:rPr>
      </w:pPr>
      <w:r w:rsidRPr="00CC6AD5">
        <w:rPr>
          <w:rFonts w:ascii="Times New Roman" w:hAnsi="Times New Roman" w:cs="Times New Roman"/>
          <w:b/>
          <w:sz w:val="24"/>
          <w:szCs w:val="24"/>
        </w:rPr>
        <w:t>Ginil Mon</w:t>
      </w:r>
      <w:r w:rsidRPr="00CC6AD5">
        <w:rPr>
          <w:rFonts w:ascii="Times New Roman" w:hAnsi="Times New Roman" w:cs="Times New Roman"/>
          <w:sz w:val="24"/>
          <w:szCs w:val="24"/>
        </w:rPr>
        <w:t xml:space="preserve"> (34 yrs.) a chemist who has specialized in Polymer Chemistry got his doctorate for his thesis “Thermal And Mechanical Characteristics of Novel Peroxide-Cured Ethylene Propylene Diene </w:t>
      </w:r>
      <w:proofErr w:type="spellStart"/>
      <w:r w:rsidRPr="00CC6AD5">
        <w:rPr>
          <w:rFonts w:ascii="Times New Roman" w:hAnsi="Times New Roman" w:cs="Times New Roman"/>
          <w:sz w:val="24"/>
          <w:szCs w:val="24"/>
        </w:rPr>
        <w:t>Terpolymer</w:t>
      </w:r>
      <w:proofErr w:type="spellEnd"/>
      <w:r w:rsidRPr="00CC6AD5">
        <w:rPr>
          <w:rFonts w:ascii="Times New Roman" w:hAnsi="Times New Roman" w:cs="Times New Roman"/>
          <w:sz w:val="24"/>
          <w:szCs w:val="24"/>
        </w:rPr>
        <w:t xml:space="preserve">-Neoprene Composite Films with Clay/Graphite Fillers” from the Manonmaniam Sundaranar University. His paper presented in </w:t>
      </w:r>
      <w:proofErr w:type="spellStart"/>
      <w:r w:rsidRPr="00CC6AD5">
        <w:rPr>
          <w:rFonts w:ascii="Times New Roman" w:hAnsi="Times New Roman" w:cs="Times New Roman"/>
          <w:sz w:val="24"/>
          <w:szCs w:val="24"/>
        </w:rPr>
        <w:t>Indraprastha</w:t>
      </w:r>
      <w:proofErr w:type="spellEnd"/>
      <w:r w:rsidRPr="00CC6AD5">
        <w:rPr>
          <w:rFonts w:ascii="Times New Roman" w:hAnsi="Times New Roman" w:cs="Times New Roman"/>
          <w:sz w:val="24"/>
          <w:szCs w:val="24"/>
        </w:rPr>
        <w:t xml:space="preserve"> International Conclave on Nano Science and Technology, New Delhi during November 16-17, 2010 was adjudged the best. He has six publications to his c</w:t>
      </w:r>
      <w:bookmarkStart w:id="0" w:name="_GoBack"/>
      <w:bookmarkEnd w:id="0"/>
      <w:r w:rsidRPr="00CC6AD5">
        <w:rPr>
          <w:rFonts w:ascii="Times New Roman" w:hAnsi="Times New Roman" w:cs="Times New Roman"/>
          <w:sz w:val="24"/>
          <w:szCs w:val="24"/>
        </w:rPr>
        <w:t>redit with 34 citations, h-index 4 and i10-index 1. An International Resource Person, he is working in Nanotechnology, Polymer Nanocomposites, Spectroscopy and Molecular Docking. A fellow of Indian Science Congress, member of editorial boards for journals, reviewer of four international journals, currently he is teaching in the Department of Chemistry and Research, Nesamony Memorial Christian College, Marthandam near Cape Commorin.</w:t>
      </w:r>
    </w:p>
    <w:p w:rsidR="00CC6AD5" w:rsidRPr="00CC6AD5" w:rsidRDefault="00CC6AD5" w:rsidP="00CC6AD5">
      <w:pPr>
        <w:spacing w:after="0" w:line="360" w:lineRule="auto"/>
        <w:ind w:firstLine="720"/>
        <w:jc w:val="both"/>
        <w:rPr>
          <w:rFonts w:ascii="Times New Roman" w:hAnsi="Times New Roman"/>
          <w:sz w:val="24"/>
          <w:szCs w:val="24"/>
        </w:rPr>
      </w:pPr>
    </w:p>
    <w:sectPr w:rsidR="00CC6AD5" w:rsidRPr="00CC6A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012"/>
    <w:rsid w:val="00061959"/>
    <w:rsid w:val="000B20F6"/>
    <w:rsid w:val="001C6AC4"/>
    <w:rsid w:val="00201EFC"/>
    <w:rsid w:val="0022642F"/>
    <w:rsid w:val="003D1B0F"/>
    <w:rsid w:val="003E38C0"/>
    <w:rsid w:val="003E3F5D"/>
    <w:rsid w:val="00471FBE"/>
    <w:rsid w:val="004872F6"/>
    <w:rsid w:val="004A1878"/>
    <w:rsid w:val="004E5819"/>
    <w:rsid w:val="00503609"/>
    <w:rsid w:val="005705D4"/>
    <w:rsid w:val="005D4C0F"/>
    <w:rsid w:val="005F5969"/>
    <w:rsid w:val="00666936"/>
    <w:rsid w:val="007F5E67"/>
    <w:rsid w:val="009561B4"/>
    <w:rsid w:val="009F5012"/>
    <w:rsid w:val="00A24117"/>
    <w:rsid w:val="00A7585D"/>
    <w:rsid w:val="00AD7C9B"/>
    <w:rsid w:val="00AF4BFA"/>
    <w:rsid w:val="00B46656"/>
    <w:rsid w:val="00B709F5"/>
    <w:rsid w:val="00BC5B85"/>
    <w:rsid w:val="00BD5605"/>
    <w:rsid w:val="00CC6AD5"/>
    <w:rsid w:val="00F10D82"/>
    <w:rsid w:val="00F14032"/>
    <w:rsid w:val="00F20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64DCE3-0002-4876-8C23-C1413FF634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85D"/>
    <w:pPr>
      <w:spacing w:after="200" w:line="276" w:lineRule="auto"/>
    </w:pPr>
    <w:rPr>
      <w:rFonts w:ascii="Calibri" w:eastAsia="Times New Roman" w:hAnsi="Calibri" w:cs="Calibri"/>
      <w:sz w:val="22"/>
    </w:rPr>
  </w:style>
  <w:style w:type="paragraph" w:styleId="Heading2">
    <w:name w:val="heading 2"/>
    <w:basedOn w:val="Normal"/>
    <w:next w:val="Normal"/>
    <w:link w:val="Heading2Char"/>
    <w:semiHidden/>
    <w:unhideWhenUsed/>
    <w:qFormat/>
    <w:rsid w:val="00A7585D"/>
    <w:pPr>
      <w:keepNext/>
      <w:spacing w:after="0" w:line="240" w:lineRule="auto"/>
      <w:jc w:val="center"/>
      <w:outlineLvl w:val="1"/>
    </w:pPr>
    <w:rPr>
      <w:rFonts w:ascii="Times New Roman" w:eastAsia="Calibri"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A7585D"/>
    <w:rPr>
      <w:rFonts w:eastAsia="Calibri" w:cs="Times New Roman"/>
      <w:b/>
      <w:bCs/>
      <w:szCs w:val="24"/>
    </w:rPr>
  </w:style>
  <w:style w:type="character" w:styleId="Hyperlink">
    <w:name w:val="Hyperlink"/>
    <w:basedOn w:val="DefaultParagraphFont"/>
    <w:semiHidden/>
    <w:unhideWhenUsed/>
    <w:rsid w:val="00A7585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10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mailto:therocksgm@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437</Words>
  <Characters>2496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Ginil Mon</dc:creator>
  <cp:keywords/>
  <dc:description/>
  <cp:lastModifiedBy>Ginil Mon</cp:lastModifiedBy>
  <cp:revision>7</cp:revision>
  <dcterms:created xsi:type="dcterms:W3CDTF">2017-06-23T03:25:00Z</dcterms:created>
  <dcterms:modified xsi:type="dcterms:W3CDTF">2017-06-23T05:50:00Z</dcterms:modified>
</cp:coreProperties>
</file>