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875014" w:rsidP="00875014">
      <w:pPr>
        <w:pStyle w:val="Heading1"/>
        <w:spacing w:before="170"/>
        <w:ind w:left="0"/>
      </w:pPr>
      <w:r>
        <w:rPr>
          <w:color w:val="337AB7"/>
          <w:lang w:val="en-GB"/>
        </w:rPr>
        <w:t xml:space="preserve">Effect of </w:t>
      </w:r>
      <w:r w:rsidRPr="00875014">
        <w:rPr>
          <w:color w:val="337AB7"/>
          <w:lang w:val="en-GB"/>
        </w:rPr>
        <w:t>Technetium-99m Nanocolloid Nanoradiopharmaceuticals</w:t>
      </w:r>
      <w:r w:rsidRPr="00875014">
        <w:rPr>
          <w:color w:val="337AB7"/>
        </w:rPr>
        <w:t xml:space="preserve"> </w:t>
      </w:r>
      <w:r>
        <w:rPr>
          <w:color w:val="337AB7"/>
        </w:rPr>
        <w:t xml:space="preserve">on </w:t>
      </w:r>
      <w:r w:rsidR="002C4146">
        <w:rPr>
          <w:color w:val="337AB7"/>
        </w:rPr>
        <w:t>P</w:t>
      </w:r>
      <w:r>
        <w:rPr>
          <w:color w:val="337AB7"/>
        </w:rPr>
        <w:t>atients</w:t>
      </w:r>
      <w:r w:rsidR="002C4146">
        <w:rPr>
          <w:color w:val="337AB7"/>
        </w:rPr>
        <w:t xml:space="preserve"> Internal D</w:t>
      </w:r>
      <w:r>
        <w:rPr>
          <w:color w:val="337AB7"/>
        </w:rPr>
        <w:t>ose</w:t>
      </w:r>
    </w:p>
    <w:p w:rsidR="00875014" w:rsidRDefault="00875014" w:rsidP="00875014">
      <w:pPr>
        <w:pStyle w:val="BodyText"/>
        <w:spacing w:before="73" w:line="198" w:lineRule="exact"/>
        <w:ind w:left="100" w:right="5987"/>
        <w:rPr>
          <w:rFonts w:ascii="Arial"/>
        </w:rPr>
      </w:pPr>
      <w:r w:rsidRPr="00875014">
        <w:rPr>
          <w:rFonts w:ascii="Arial"/>
        </w:rPr>
        <w:t>Ali Nabipour Chakoli, Nuclear Science and Technology</w:t>
      </w:r>
      <w:r>
        <w:rPr>
          <w:rFonts w:ascii="Arial"/>
        </w:rPr>
        <w:t xml:space="preserve"> </w:t>
      </w:r>
      <w:r w:rsidRPr="00875014">
        <w:rPr>
          <w:rFonts w:ascii="Arial"/>
        </w:rPr>
        <w:t>Research Institute, Tehran</w:t>
      </w:r>
      <w:r>
        <w:rPr>
          <w:rFonts w:ascii="Arial"/>
        </w:rPr>
        <w:t xml:space="preserve">, Iran. </w:t>
      </w:r>
    </w:p>
    <w:p w:rsidR="005973B9" w:rsidRDefault="00875014" w:rsidP="00875014">
      <w:pPr>
        <w:pStyle w:val="BodyText"/>
        <w:spacing w:before="73" w:line="198" w:lineRule="exact"/>
        <w:ind w:left="100" w:right="5987"/>
        <w:rPr>
          <w:rFonts w:ascii="Arial"/>
        </w:rPr>
      </w:pPr>
      <w:r>
        <w:rPr>
          <w:rFonts w:ascii="Arial"/>
        </w:rPr>
        <w:t>Ronak Serkan, MSc</w:t>
      </w:r>
      <w:r w:rsidR="005973B9">
        <w:rPr>
          <w:rFonts w:ascii="Arial"/>
        </w:rPr>
        <w:t xml:space="preserve">, </w:t>
      </w:r>
      <w:r w:rsidRPr="00875014">
        <w:rPr>
          <w:rFonts w:ascii="Arial"/>
          <w:iCs/>
          <w:lang w:val="en-GB"/>
        </w:rPr>
        <w:t>Science and Research branch, Islamic Azad University, Tehran, Iran</w:t>
      </w:r>
      <w:r>
        <w:rPr>
          <w:rFonts w:ascii="Arial"/>
          <w:iCs/>
          <w:lang w:val="en-GB"/>
        </w:rPr>
        <w: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8E6A2A">
      <w:pPr>
        <w:pStyle w:val="Heading3"/>
        <w:spacing w:before="147"/>
        <w:jc w:val="both"/>
      </w:pPr>
      <w:r>
        <w:rPr>
          <w:color w:val="BF5A14"/>
        </w:rPr>
        <w:lastRenderedPageBreak/>
        <w:t>Abstract</w:t>
      </w:r>
      <w:r w:rsidR="00404E5B">
        <w:rPr>
          <w:color w:val="BF5A14"/>
        </w:rPr>
        <w:t xml:space="preserve"> </w:t>
      </w:r>
    </w:p>
    <w:p w:rsidR="00D94139" w:rsidRDefault="00CF14AE" w:rsidP="00330CDE">
      <w:pPr>
        <w:pStyle w:val="BodyText"/>
        <w:spacing w:before="90" w:line="280" w:lineRule="auto"/>
        <w:ind w:left="100"/>
        <w:jc w:val="both"/>
        <w:rPr>
          <w:bCs/>
        </w:rPr>
      </w:pPr>
      <w:r>
        <w:rPr>
          <w:bCs/>
        </w:rPr>
        <w:t>Resarch</w:t>
      </w:r>
      <w:r w:rsidR="00D94139" w:rsidRPr="00D94139">
        <w:rPr>
          <w:bCs/>
        </w:rPr>
        <w:t xml:space="preserve"> for new and more </w:t>
      </w:r>
      <w:r w:rsidR="00330CDE">
        <w:rPr>
          <w:bCs/>
        </w:rPr>
        <w:t>effective</w:t>
      </w:r>
      <w:r w:rsidR="00D94139" w:rsidRPr="00D94139">
        <w:rPr>
          <w:bCs/>
        </w:rPr>
        <w:t xml:space="preserve"> </w:t>
      </w:r>
      <w:r w:rsidR="00D94139" w:rsidRPr="00D94139">
        <w:t>Technetium-99m (</w:t>
      </w:r>
      <w:r w:rsidR="00D94139" w:rsidRPr="00D94139">
        <w:rPr>
          <w:bCs/>
        </w:rPr>
        <w:t xml:space="preserve">99mTc) radiopharmaceuticals has been a continuous process for nearly half a century, as can be seen from the increasing number of scientific papers published on this topic every year. A cold kit contains the ligand to which 99mTc is to be complexed, an adequate quantity of reducing agent, buffer to adjust the pH to suit the labelling conditions, stabilizing agents and excipients. The new idea for enhancing the application of 9mTc is preparation of kit using nanocolloids. The </w:t>
      </w:r>
      <w:r w:rsidR="00D94139" w:rsidRPr="00D94139">
        <w:t>Technetium-99m nanocolloids with a particle size of 10–80 nm can be prepared and used for bone marrow scintigraphy, lymphoscintigraphy and detection of inflammation</w:t>
      </w:r>
      <w:r w:rsidR="00D94139" w:rsidRPr="00D94139">
        <w:rPr>
          <w:bCs/>
        </w:rPr>
        <w:t>. In his research the nanocolloids of 99mTc are compared with traditional colloids in the field of exposed dose to the patient. The results of comparison shows that application of 99mTc nanocolloids for injection increase the image quality, also, decreases the whole body radiation dose of patient after injection of medicine to the patient.</w:t>
      </w:r>
    </w:p>
    <w:p w:rsidR="008E6A2A" w:rsidRPr="008E6A2A" w:rsidRDefault="008E6A2A" w:rsidP="008E6A2A">
      <w:pPr>
        <w:pStyle w:val="BodyText"/>
        <w:spacing w:before="90" w:line="280" w:lineRule="auto"/>
        <w:ind w:left="100"/>
        <w:jc w:val="both"/>
      </w:pPr>
      <w:r w:rsidRPr="008E6A2A">
        <w:t>Because of nanomaterials and nanotechnology role in determining enzyme action, cell cycle, cell signaling damage repair, nanomaterials can be used to create analytical tools for analyzing the structure of cells and tissues at the atomic and cellular levels, and to design biocompatible materials for novel therapies as well as targeted drug delivery, and diagnostic purposes.</w:t>
      </w:r>
    </w:p>
    <w:p w:rsidR="008E6A2A" w:rsidRPr="008E6A2A" w:rsidRDefault="008E6A2A" w:rsidP="008E6A2A">
      <w:pPr>
        <w:pStyle w:val="BodyText"/>
        <w:spacing w:before="90" w:line="280" w:lineRule="auto"/>
        <w:ind w:left="100"/>
        <w:jc w:val="both"/>
        <w:rPr>
          <w:lang w:val="en-GB"/>
        </w:rPr>
      </w:pPr>
      <w:r w:rsidRPr="008E6A2A">
        <w:t>Due to their unique capabilities and purported minimal side effects in treating variety of ailments, nanomaterials have a wide range of biomedical applications. Among the vast array of nanomaterials, one example is of the biocompatible super-paramagneticiron oxide with properly oriented surface architecture and semiconductor crystals called quantum dots have been developed for analyses of biological systems as quantum dots when attached to biological molecules, emit specific colors and offer quick and extensive screenings.</w:t>
      </w:r>
    </w:p>
    <w:p w:rsidR="008E6A2A" w:rsidRPr="008E6A2A" w:rsidRDefault="008E6A2A" w:rsidP="008E6A2A">
      <w:pPr>
        <w:pStyle w:val="BodyText"/>
        <w:spacing w:before="90" w:line="280" w:lineRule="auto"/>
        <w:ind w:left="100"/>
        <w:jc w:val="both"/>
        <w:rPr>
          <w:bCs/>
        </w:rPr>
      </w:pPr>
      <w:r w:rsidRPr="008E6A2A">
        <w:rPr>
          <w:bCs/>
          <w:lang w:val="en-GB"/>
        </w:rPr>
        <w:lastRenderedPageBreak/>
        <w:t xml:space="preserve">Conjugation of nano medicine and radio pharmacy treats a new research and technology area that named nanoradiopharmacy. </w:t>
      </w:r>
      <w:r w:rsidRPr="008E6A2A">
        <w:rPr>
          <w:bCs/>
        </w:rPr>
        <w:t>The nanoradiopharmacy has great advantages in disease diagnosis and control and subsequent therapy, due to the ability to develop molecular diagnostics for the early detection of disease as well as the ability to develop increasingly personalized and individualized treatments .</w:t>
      </w:r>
    </w:p>
    <w:p w:rsidR="008E6A2A" w:rsidRDefault="008E6A2A" w:rsidP="008E6A2A">
      <w:pPr>
        <w:pStyle w:val="BodyText"/>
        <w:spacing w:before="90" w:line="280" w:lineRule="auto"/>
        <w:ind w:left="100"/>
        <w:jc w:val="both"/>
        <w:rPr>
          <w:bCs/>
        </w:rPr>
      </w:pPr>
      <w:r w:rsidRPr="008E6A2A">
        <w:rPr>
          <w:bCs/>
        </w:rPr>
        <w:t xml:space="preserve">The growth of nuclear medicine has been due mainly to the availability of99mTc radiopharmaceuticals; this single isotope is used in over 80% of all diagnostic procedures. Each year, roughly 25 million procedures are carried out with 99mTc radiopharmaceuticals, and this figure is projected to grow at a rate of about 15% per annum. </w:t>
      </w:r>
      <w:r w:rsidRPr="008E6A2A">
        <w:rPr>
          <w:bCs/>
          <w:lang w:val="en-GB"/>
        </w:rPr>
        <w:t xml:space="preserve">Technetium-99m-rhenium-sulphide colloids with a particle size of 10–80 nm can be used for bone marrow scintigraphy, lymphoscintigraphy and detection of inflammation. </w:t>
      </w:r>
      <w:r w:rsidRPr="008E6A2A">
        <w:rPr>
          <w:bCs/>
        </w:rPr>
        <w:t>In this research, the quality of produced 99mTc nanoradiomedicine are checked and the details of Nano sized materials were analyzed.</w:t>
      </w:r>
      <w:r>
        <w:rPr>
          <w:bCs/>
        </w:rPr>
        <w:t xml:space="preserve"> </w:t>
      </w:r>
    </w:p>
    <w:p w:rsidR="005973B9" w:rsidRDefault="005973B9" w:rsidP="008E6A2A">
      <w:pPr>
        <w:pStyle w:val="BodyText"/>
        <w:spacing w:before="90" w:line="280" w:lineRule="auto"/>
        <w:ind w:left="100"/>
        <w:jc w:val="both"/>
        <w:rPr>
          <w:rFonts w:ascii="Arial"/>
          <w:b/>
          <w:sz w:val="20"/>
        </w:rPr>
      </w:pPr>
      <w:r>
        <w:rPr>
          <w:rFonts w:ascii="Arial"/>
          <w:b/>
          <w:color w:val="BF5A14"/>
          <w:sz w:val="20"/>
        </w:rPr>
        <w:t>Publications</w:t>
      </w:r>
    </w:p>
    <w:p w:rsidR="008E6A2A" w:rsidRPr="008E6A2A" w:rsidRDefault="008E6A2A" w:rsidP="008E6A2A">
      <w:pPr>
        <w:tabs>
          <w:tab w:val="left" w:pos="384"/>
        </w:tabs>
        <w:ind w:right="117"/>
        <w:rPr>
          <w:rFonts w:ascii="Calibri" w:eastAsia="Calibri" w:hAnsi="Calibri" w:cs="Calibri"/>
          <w:sz w:val="18"/>
          <w:lang w:val="en-GB"/>
        </w:rPr>
      </w:pPr>
      <w:r w:rsidRPr="008E6A2A">
        <w:rPr>
          <w:rFonts w:ascii="Calibri" w:eastAsia="Calibri" w:hAnsi="Calibri" w:cs="Calibri"/>
          <w:sz w:val="18"/>
          <w:lang w:val="en-GB"/>
        </w:rPr>
        <w:t>[1] Moonen M, Jacobsson L. Effect of administered activity on precision in the</w:t>
      </w:r>
      <w:r w:rsidR="005F746C">
        <w:rPr>
          <w:rFonts w:ascii="Calibri" w:eastAsia="Calibri" w:hAnsi="Calibri" w:cs="Calibri"/>
          <w:sz w:val="18"/>
          <w:lang w:val="en-GB"/>
        </w:rPr>
        <w:t xml:space="preserve"> </w:t>
      </w:r>
      <w:r w:rsidRPr="008E6A2A">
        <w:rPr>
          <w:rFonts w:ascii="Calibri" w:eastAsia="Calibri" w:hAnsi="Calibri" w:cs="Calibri"/>
          <w:sz w:val="18"/>
          <w:lang w:val="en-GB"/>
        </w:rPr>
        <w:t>assessment of renal function using gamma camera renography. Nucl Med</w:t>
      </w:r>
      <w:r w:rsidR="005F746C">
        <w:rPr>
          <w:rFonts w:ascii="Calibri" w:eastAsia="Calibri" w:hAnsi="Calibri" w:cs="Calibri"/>
          <w:sz w:val="18"/>
          <w:lang w:val="en-GB"/>
        </w:rPr>
        <w:t xml:space="preserve"> </w:t>
      </w:r>
      <w:r w:rsidRPr="008E6A2A">
        <w:rPr>
          <w:rFonts w:ascii="Calibri" w:eastAsia="Calibri" w:hAnsi="Calibri" w:cs="Calibri"/>
          <w:sz w:val="18"/>
          <w:lang w:val="en-GB"/>
        </w:rPr>
        <w:t>Commun. 1997;18:346 –351.</w:t>
      </w:r>
    </w:p>
    <w:p w:rsidR="008E6A2A" w:rsidRPr="008E6A2A" w:rsidRDefault="008E6A2A" w:rsidP="008E6A2A">
      <w:pPr>
        <w:tabs>
          <w:tab w:val="left" w:pos="384"/>
        </w:tabs>
        <w:ind w:right="117"/>
        <w:rPr>
          <w:rFonts w:ascii="Calibri" w:eastAsia="Calibri" w:hAnsi="Calibri" w:cs="Calibri"/>
          <w:sz w:val="18"/>
          <w:lang w:val="en-GB"/>
        </w:rPr>
      </w:pPr>
      <w:r w:rsidRPr="008E6A2A">
        <w:rPr>
          <w:rFonts w:ascii="Calibri" w:eastAsia="Calibri" w:hAnsi="Calibri" w:cs="Calibri"/>
          <w:sz w:val="18"/>
          <w:lang w:val="en-GB"/>
        </w:rPr>
        <w:t>[2]</w:t>
      </w:r>
      <w:r w:rsidR="000F5684">
        <w:rPr>
          <w:rFonts w:ascii="Calibri" w:eastAsia="Calibri" w:hAnsi="Calibri" w:cs="Calibri"/>
          <w:sz w:val="18"/>
          <w:lang w:val="en-GB"/>
        </w:rPr>
        <w:t xml:space="preserve"> </w:t>
      </w:r>
      <w:r w:rsidRPr="008E6A2A">
        <w:rPr>
          <w:rFonts w:ascii="Calibri" w:eastAsia="Calibri" w:hAnsi="Calibri" w:cs="Calibri"/>
          <w:sz w:val="18"/>
          <w:lang w:val="en-GB"/>
        </w:rPr>
        <w:t>Vestergren E, Jacobsson L, Moonen M, Eklund I, Sixt R, Mattsson S.</w:t>
      </w:r>
      <w:r w:rsidR="005F746C">
        <w:rPr>
          <w:rFonts w:ascii="Calibri" w:eastAsia="Calibri" w:hAnsi="Calibri" w:cs="Calibri"/>
          <w:sz w:val="18"/>
          <w:lang w:val="en-GB"/>
        </w:rPr>
        <w:t xml:space="preserve"> </w:t>
      </w:r>
      <w:r w:rsidRPr="008E6A2A">
        <w:rPr>
          <w:rFonts w:ascii="Calibri" w:eastAsia="Calibri" w:hAnsi="Calibri" w:cs="Calibri"/>
          <w:sz w:val="18"/>
          <w:lang w:val="en-GB"/>
        </w:rPr>
        <w:t>Administered activity ofTc-MAG3 for gamma camera renography in</w:t>
      </w:r>
      <w:r w:rsidR="005F746C">
        <w:rPr>
          <w:rFonts w:ascii="Calibri" w:eastAsia="Calibri" w:hAnsi="Calibri" w:cs="Calibri"/>
          <w:sz w:val="18"/>
          <w:lang w:val="en-GB"/>
        </w:rPr>
        <w:t xml:space="preserve"> </w:t>
      </w:r>
      <w:r w:rsidRPr="008E6A2A">
        <w:rPr>
          <w:rFonts w:ascii="Calibri" w:eastAsia="Calibri" w:hAnsi="Calibri" w:cs="Calibri"/>
          <w:sz w:val="18"/>
          <w:lang w:val="en-GB"/>
        </w:rPr>
        <w:t>children. Nucl Med Commun. 1999;20:799 –806.</w:t>
      </w:r>
    </w:p>
    <w:p w:rsidR="008E6A2A" w:rsidRPr="008E6A2A" w:rsidRDefault="008E6A2A" w:rsidP="008E6A2A">
      <w:pPr>
        <w:tabs>
          <w:tab w:val="left" w:pos="384"/>
        </w:tabs>
        <w:ind w:right="117"/>
        <w:rPr>
          <w:rFonts w:ascii="Calibri" w:eastAsia="Calibri" w:hAnsi="Calibri" w:cs="Calibri"/>
          <w:sz w:val="18"/>
          <w:lang w:val="en-GB"/>
        </w:rPr>
      </w:pPr>
      <w:r w:rsidRPr="008E6A2A">
        <w:rPr>
          <w:rFonts w:ascii="Calibri" w:eastAsia="Calibri" w:hAnsi="Calibri" w:cs="Calibri"/>
          <w:sz w:val="18"/>
          <w:lang w:val="en-GB"/>
        </w:rPr>
        <w:t>[3]</w:t>
      </w:r>
      <w:r w:rsidR="000F5684">
        <w:rPr>
          <w:rFonts w:ascii="Calibri" w:eastAsia="Calibri" w:hAnsi="Calibri" w:cs="Calibri"/>
          <w:sz w:val="18"/>
          <w:lang w:val="en-GB"/>
        </w:rPr>
        <w:t xml:space="preserve"> </w:t>
      </w:r>
      <w:r w:rsidRPr="008E6A2A">
        <w:rPr>
          <w:rFonts w:ascii="Calibri" w:eastAsia="Calibri" w:hAnsi="Calibri" w:cs="Calibri"/>
          <w:sz w:val="18"/>
          <w:lang w:val="en-GB"/>
        </w:rPr>
        <w:t>Moonen M, Jacobsson L, Granerus G, Friberg P, Volkmann R. Determination</w:t>
      </w:r>
      <w:r w:rsidR="005F746C">
        <w:rPr>
          <w:rFonts w:ascii="Calibri" w:eastAsia="Calibri" w:hAnsi="Calibri" w:cs="Calibri"/>
          <w:sz w:val="18"/>
          <w:lang w:val="en-GB"/>
        </w:rPr>
        <w:t xml:space="preserve"> </w:t>
      </w:r>
      <w:r w:rsidRPr="008E6A2A">
        <w:rPr>
          <w:rFonts w:ascii="Calibri" w:eastAsia="Calibri" w:hAnsi="Calibri" w:cs="Calibri"/>
          <w:sz w:val="18"/>
          <w:lang w:val="en-GB"/>
        </w:rPr>
        <w:t>of split renal function from gamma camera renography: a study ofthree methods. Nucl Med Commun. 1994;15:704 –711.</w:t>
      </w:r>
    </w:p>
    <w:p w:rsidR="008E6A2A" w:rsidRPr="008E6A2A" w:rsidRDefault="008E6A2A" w:rsidP="008E6A2A">
      <w:pPr>
        <w:tabs>
          <w:tab w:val="left" w:pos="384"/>
        </w:tabs>
        <w:ind w:right="117"/>
        <w:rPr>
          <w:rFonts w:ascii="Calibri" w:eastAsia="Calibri" w:hAnsi="Calibri" w:cs="Calibri"/>
          <w:sz w:val="18"/>
          <w:lang w:val="en-GB"/>
        </w:rPr>
      </w:pPr>
      <w:r w:rsidRPr="008E6A2A">
        <w:rPr>
          <w:rFonts w:ascii="Calibri" w:eastAsia="Calibri" w:hAnsi="Calibri" w:cs="Calibri"/>
          <w:sz w:val="18"/>
          <w:lang w:val="en-GB"/>
        </w:rPr>
        <w:t>[4]</w:t>
      </w:r>
      <w:r w:rsidR="000F5684">
        <w:rPr>
          <w:rFonts w:ascii="Calibri" w:eastAsia="Calibri" w:hAnsi="Calibri" w:cs="Calibri"/>
          <w:sz w:val="18"/>
          <w:lang w:val="en-GB"/>
        </w:rPr>
        <w:t xml:space="preserve"> </w:t>
      </w:r>
      <w:r w:rsidRPr="008E6A2A">
        <w:rPr>
          <w:rFonts w:ascii="Calibri" w:eastAsia="Calibri" w:hAnsi="Calibri" w:cs="Calibri"/>
          <w:sz w:val="18"/>
          <w:lang w:val="en-GB"/>
        </w:rPr>
        <w:t>Mattsson S, Jacobsson L, Vestergren E. The basic principles in assessment</w:t>
      </w:r>
      <w:r w:rsidR="005F746C">
        <w:rPr>
          <w:rFonts w:ascii="Calibri" w:eastAsia="Calibri" w:hAnsi="Calibri" w:cs="Calibri"/>
          <w:sz w:val="18"/>
          <w:lang w:val="en-GB"/>
        </w:rPr>
        <w:t xml:space="preserve"> </w:t>
      </w:r>
      <w:r w:rsidRPr="008E6A2A">
        <w:rPr>
          <w:rFonts w:ascii="Calibri" w:eastAsia="Calibri" w:hAnsi="Calibri" w:cs="Calibri"/>
          <w:sz w:val="18"/>
          <w:lang w:val="en-GB"/>
        </w:rPr>
        <w:t>and selection of reference doses: considerations in nuclear medicine. RadiatProt</w:t>
      </w:r>
      <w:r w:rsidR="005F746C">
        <w:rPr>
          <w:rFonts w:ascii="Calibri" w:eastAsia="Calibri" w:hAnsi="Calibri" w:cs="Calibri"/>
          <w:sz w:val="18"/>
          <w:lang w:val="en-GB"/>
        </w:rPr>
        <w:t xml:space="preserve"> </w:t>
      </w:r>
      <w:r w:rsidRPr="008E6A2A">
        <w:rPr>
          <w:rFonts w:ascii="Calibri" w:eastAsia="Calibri" w:hAnsi="Calibri" w:cs="Calibri"/>
          <w:sz w:val="18"/>
          <w:lang w:val="en-GB"/>
        </w:rPr>
        <w:t>Dosimetry. 1998;80:23–30.</w:t>
      </w:r>
    </w:p>
    <w:p w:rsidR="00AE3E37" w:rsidRDefault="008E6A2A" w:rsidP="008E6A2A">
      <w:pPr>
        <w:tabs>
          <w:tab w:val="left" w:pos="384"/>
        </w:tabs>
        <w:ind w:right="117"/>
        <w:rPr>
          <w:rFonts w:ascii="Calibri" w:eastAsia="Calibri" w:hAnsi="Calibri" w:cs="Calibri"/>
          <w:sz w:val="18"/>
          <w:lang w:val="en-GB"/>
        </w:rPr>
      </w:pPr>
      <w:r w:rsidRPr="008E6A2A">
        <w:rPr>
          <w:rFonts w:ascii="Calibri" w:eastAsia="Calibri" w:hAnsi="Calibri" w:cs="Calibri"/>
          <w:sz w:val="18"/>
          <w:lang w:val="en-GB"/>
        </w:rPr>
        <w:t>[5] Taylor A Jr, Eshima D, Fritzberg AR, Christian PE, Kasina S. Comparison</w:t>
      </w:r>
      <w:r w:rsidR="005F746C">
        <w:rPr>
          <w:rFonts w:ascii="Calibri" w:eastAsia="Calibri" w:hAnsi="Calibri" w:cs="Calibri"/>
          <w:sz w:val="18"/>
          <w:lang w:val="en-GB"/>
        </w:rPr>
        <w:t xml:space="preserve"> </w:t>
      </w:r>
      <w:r w:rsidRPr="008E6A2A">
        <w:rPr>
          <w:rFonts w:ascii="Calibri" w:eastAsia="Calibri" w:hAnsi="Calibri" w:cs="Calibri"/>
          <w:sz w:val="18"/>
          <w:lang w:val="en-GB"/>
        </w:rPr>
        <w:t>of iodine-131 OIH and technetium-99m MAG3 renal imaging in volunteers.</w:t>
      </w:r>
      <w:r w:rsidR="005F746C">
        <w:rPr>
          <w:rFonts w:ascii="Calibri" w:eastAsia="Calibri" w:hAnsi="Calibri" w:cs="Calibri"/>
          <w:sz w:val="18"/>
          <w:lang w:val="en-GB"/>
        </w:rPr>
        <w:t xml:space="preserve"> </w:t>
      </w:r>
      <w:r w:rsidRPr="008E6A2A">
        <w:rPr>
          <w:rFonts w:ascii="Calibri" w:eastAsia="Calibri" w:hAnsi="Calibri" w:cs="Calibri"/>
          <w:sz w:val="18"/>
          <w:lang w:val="en-GB"/>
        </w:rPr>
        <w:t>J Nucl Med. 1986;27:795–803.</w:t>
      </w:r>
    </w:p>
    <w:p w:rsidR="008E6A2A" w:rsidRPr="008756E6" w:rsidRDefault="008E6A2A" w:rsidP="008E6A2A">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spacing w:line="40" w:lineRule="exact"/>
        <w:ind w:left="2202"/>
        <w:rPr>
          <w:rFonts w:ascii="Calibri"/>
          <w:sz w:val="4"/>
        </w:rPr>
      </w:pPr>
    </w:p>
    <w:p w:rsidR="00AE3E37" w:rsidRDefault="00E62252" w:rsidP="00820A30">
      <w:pPr>
        <w:spacing w:before="92"/>
        <w:ind w:right="4234"/>
        <w:rPr>
          <w:rFonts w:ascii="Arial"/>
        </w:rPr>
      </w:pPr>
      <w:r>
        <w:rPr>
          <w:rFonts w:ascii="Arial"/>
          <w:noProof/>
          <w:color w:val="BF5A14"/>
        </w:rPr>
        <w:drawing>
          <wp:inline distT="0" distB="0" distL="0" distR="0">
            <wp:extent cx="1151382" cy="861860"/>
            <wp:effectExtent l="19050" t="0" r="0" b="0"/>
            <wp:docPr id="2" name="Picture 1" descr="IAEA 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AEA Ali.jpg"/>
                    <pic:cNvPicPr/>
                  </pic:nvPicPr>
                  <pic:blipFill>
                    <a:blip r:embed="rId9" cstate="print"/>
                    <a:stretch>
                      <a:fillRect/>
                    </a:stretch>
                  </pic:blipFill>
                  <pic:spPr>
                    <a:xfrm>
                      <a:off x="0" y="0"/>
                      <a:ext cx="1158153" cy="866928"/>
                    </a:xfrm>
                    <a:prstGeom prst="rect">
                      <a:avLst/>
                    </a:prstGeom>
                  </pic:spPr>
                </pic:pic>
              </a:graphicData>
            </a:graphic>
          </wp:inline>
        </w:drawing>
      </w:r>
      <w:r w:rsidR="00A9710C">
        <w:rPr>
          <w:rFonts w:ascii="Arial"/>
          <w:color w:val="BF5A14"/>
        </w:rPr>
        <w:t>Biography</w:t>
      </w:r>
    </w:p>
    <w:p w:rsidR="00D74C23" w:rsidRPr="00D74C23" w:rsidRDefault="00D74C23" w:rsidP="00D74C23">
      <w:pPr>
        <w:spacing w:before="41" w:line="154" w:lineRule="exact"/>
        <w:ind w:left="213" w:right="231"/>
        <w:jc w:val="both"/>
        <w:rPr>
          <w:rFonts w:ascii="Arial"/>
          <w:sz w:val="14"/>
        </w:rPr>
      </w:pPr>
      <w:r w:rsidRPr="00D74C23">
        <w:rPr>
          <w:rFonts w:ascii="Arial"/>
          <w:sz w:val="14"/>
          <w:lang w:val="it-IT"/>
        </w:rPr>
        <w:t>Ali Nabipour Chakoli has recieved his Ph.D in 2010 from School of Materials Science and Engineering, Harbin Insitute of Technology, Harbin, China. He is the Scientifc board member of Nuclear Science and Technology Rearech Insituute, Tehran, I</w:t>
      </w:r>
      <w:r w:rsidRPr="00D74C23">
        <w:rPr>
          <w:rFonts w:ascii="Arial"/>
          <w:iCs/>
          <w:sz w:val="14"/>
          <w:lang w:val="it-IT"/>
        </w:rPr>
        <w:t>ran</w:t>
      </w:r>
      <w:r w:rsidRPr="00D74C23">
        <w:rPr>
          <w:rFonts w:ascii="Arial"/>
          <w:sz w:val="14"/>
          <w:lang w:val="it-IT"/>
        </w:rPr>
        <w:t>. He has published more than 35 papers in reputed journals and conferences. His research field is nanomaterials, nanocomposites, biocomposites, NDT,...Also, He is the reviewer of some reputed journals such as RSC Advances, Polymer Composites, Polymer Reseach.</w:t>
      </w:r>
    </w:p>
    <w:p w:rsidR="00AE3E37" w:rsidRDefault="00A9710C" w:rsidP="00820A30">
      <w:pPr>
        <w:spacing w:before="62"/>
        <w:ind w:left="4217" w:right="4235"/>
        <w:jc w:val="center"/>
        <w:rPr>
          <w:rFonts w:ascii="Arial"/>
          <w:sz w:val="14"/>
        </w:rPr>
      </w:pPr>
      <w:r>
        <w:rPr>
          <w:rFonts w:ascii="Arial"/>
          <w:sz w:val="14"/>
        </w:rPr>
        <w:t xml:space="preserve">Email: </w:t>
      </w:r>
      <w:hyperlink r:id="rId10" w:history="1">
        <w:r w:rsidR="00820A30" w:rsidRPr="00B371F5">
          <w:rPr>
            <w:rStyle w:val="Hyperlink"/>
            <w:rFonts w:ascii="Arial"/>
            <w:sz w:val="14"/>
          </w:rPr>
          <w:t>a_nabipour@yahoo.com</w:t>
        </w:r>
      </w:hyperlink>
      <w:r w:rsidR="00820A30">
        <w:rPr>
          <w:rFonts w:ascii="Arial"/>
          <w:sz w:val="14"/>
        </w:rPr>
        <w:t xml:space="preserve">, </w:t>
      </w:r>
      <w:hyperlink r:id="rId11" w:history="1">
        <w:r w:rsidR="00820A30" w:rsidRPr="00B371F5">
          <w:rPr>
            <w:rStyle w:val="Hyperlink"/>
            <w:rFonts w:ascii="Arial"/>
            <w:sz w:val="14"/>
          </w:rPr>
          <w:t>anabipour@aeoi.org.ir</w:t>
        </w:r>
      </w:hyperlink>
      <w:r w:rsidR="00820A30">
        <w:rPr>
          <w:rFonts w:ascii="Arial"/>
          <w:sz w:val="14"/>
        </w:rPr>
        <w:t xml:space="preserve">, </w:t>
      </w:r>
    </w:p>
    <w:p w:rsidR="00AE3E37" w:rsidRDefault="009A2B7D">
      <w:pPr>
        <w:pStyle w:val="BodyText"/>
        <w:spacing w:before="2"/>
        <w:rPr>
          <w:rFonts w:ascii="Arial"/>
          <w:sz w:val="19"/>
        </w:rPr>
      </w:pPr>
      <w:r w:rsidRPr="009A2B7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5545" w:rsidRDefault="00795545">
      <w:r>
        <w:separator/>
      </w:r>
    </w:p>
  </w:endnote>
  <w:endnote w:type="continuationSeparator" w:id="1">
    <w:p w:rsidR="00795545" w:rsidRDefault="0079554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A2B7D">
    <w:pPr>
      <w:pStyle w:val="BodyText"/>
      <w:spacing w:line="14" w:lineRule="auto"/>
      <w:rPr>
        <w:sz w:val="20"/>
      </w:rPr>
    </w:pPr>
    <w:r w:rsidRPr="009A2B7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A2B7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A2B7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5545" w:rsidRDefault="00795545">
      <w:r>
        <w:separator/>
      </w:r>
    </w:p>
  </w:footnote>
  <w:footnote w:type="continuationSeparator" w:id="1">
    <w:p w:rsidR="00795545" w:rsidRDefault="007955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A2B7D">
    <w:pPr>
      <w:pStyle w:val="BodyText"/>
      <w:spacing w:line="14" w:lineRule="auto"/>
      <w:rPr>
        <w:sz w:val="20"/>
      </w:rPr>
    </w:pPr>
    <w:r w:rsidRPr="009A2B7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9A2B7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0F5684"/>
    <w:rsid w:val="001263DF"/>
    <w:rsid w:val="002455EC"/>
    <w:rsid w:val="00292ED9"/>
    <w:rsid w:val="002C4146"/>
    <w:rsid w:val="00330CDE"/>
    <w:rsid w:val="00404E5B"/>
    <w:rsid w:val="00414F7B"/>
    <w:rsid w:val="004355DC"/>
    <w:rsid w:val="004749B4"/>
    <w:rsid w:val="00494130"/>
    <w:rsid w:val="004F3523"/>
    <w:rsid w:val="005973B9"/>
    <w:rsid w:val="005B3A56"/>
    <w:rsid w:val="005F746C"/>
    <w:rsid w:val="006060CE"/>
    <w:rsid w:val="0063497F"/>
    <w:rsid w:val="00795545"/>
    <w:rsid w:val="00820A30"/>
    <w:rsid w:val="00873DF0"/>
    <w:rsid w:val="00875014"/>
    <w:rsid w:val="008756E6"/>
    <w:rsid w:val="008A08B6"/>
    <w:rsid w:val="008E6A2A"/>
    <w:rsid w:val="00931010"/>
    <w:rsid w:val="009A2B7D"/>
    <w:rsid w:val="009B2D44"/>
    <w:rsid w:val="00A07E82"/>
    <w:rsid w:val="00A9710C"/>
    <w:rsid w:val="00AE3E37"/>
    <w:rsid w:val="00B21A57"/>
    <w:rsid w:val="00C33602"/>
    <w:rsid w:val="00CD6F55"/>
    <w:rsid w:val="00CF14AE"/>
    <w:rsid w:val="00D74C23"/>
    <w:rsid w:val="00D94139"/>
    <w:rsid w:val="00DE3104"/>
    <w:rsid w:val="00E26B10"/>
    <w:rsid w:val="00E6225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abipour@aeoi.org.ir" TargetMode="External"/><Relationship Id="rId5" Type="http://schemas.openxmlformats.org/officeDocument/2006/relationships/footnotes" Target="footnotes.xml"/><Relationship Id="rId10" Type="http://schemas.openxmlformats.org/officeDocument/2006/relationships/hyperlink" Target="mailto:a_nabipour@yahoo.co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cp:lastModifiedBy>
  <cp:revision>16</cp:revision>
  <dcterms:created xsi:type="dcterms:W3CDTF">2018-11-09T19:17:00Z</dcterms:created>
  <dcterms:modified xsi:type="dcterms:W3CDTF">2018-11-09T19:41:00Z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