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E3C8A" w:rsidRDefault="00B131B8" w:rsidP="00705422">
      <w:pPr>
        <w:pStyle w:val="Heading1"/>
        <w:spacing w:before="170"/>
        <w:ind w:left="0"/>
        <w:jc w:val="center"/>
        <w:rPr>
          <w:color w:val="00B0F0"/>
        </w:rPr>
      </w:pPr>
      <w:r w:rsidRPr="001E3C8A">
        <w:rPr>
          <w:color w:val="00B0F0"/>
        </w:rPr>
        <w:t>A</w:t>
      </w:r>
      <w:r w:rsidR="000A73BE" w:rsidRPr="001E3C8A">
        <w:rPr>
          <w:color w:val="00B0F0"/>
        </w:rPr>
        <w:t>ntagonist effect of ZnONP</w:t>
      </w:r>
      <w:r w:rsidR="00705422" w:rsidRPr="001E3C8A">
        <w:rPr>
          <w:color w:val="00B0F0"/>
        </w:rPr>
        <w:t xml:space="preserve">s on </w:t>
      </w:r>
      <w:r w:rsidR="006F21A3" w:rsidRPr="001E3C8A">
        <w:rPr>
          <w:color w:val="00B0F0"/>
        </w:rPr>
        <w:t>Adipocytes through</w:t>
      </w:r>
      <w:r w:rsidR="00705422" w:rsidRPr="001E3C8A">
        <w:rPr>
          <w:color w:val="00B0F0"/>
        </w:rPr>
        <w:t xml:space="preserve"> the inhibition of Peroxisome Proliferator-Activated Receptor </w:t>
      </w:r>
      <w:r w:rsidR="006F21A3" w:rsidRPr="001E3C8A">
        <w:rPr>
          <w:color w:val="00B0F0"/>
        </w:rPr>
        <w:t>gamma (</w:t>
      </w:r>
      <w:r w:rsidR="00705422" w:rsidRPr="001E3C8A">
        <w:rPr>
          <w:color w:val="00B0F0"/>
        </w:rPr>
        <w:t>PPARγ)- a Novel Approach</w:t>
      </w:r>
    </w:p>
    <w:p w:rsidR="001B1C9D" w:rsidRDefault="001B1C9D" w:rsidP="00B572D1">
      <w:pPr>
        <w:spacing w:line="276" w:lineRule="auto"/>
        <w:jc w:val="both"/>
        <w:rPr>
          <w:rFonts w:ascii="Times New Roman" w:hAnsi="Times New Roman" w:cs="Times New Roman"/>
          <w:sz w:val="20"/>
          <w:szCs w:val="20"/>
        </w:rPr>
      </w:pPr>
    </w:p>
    <w:p w:rsidR="001B1C9D" w:rsidRDefault="001B1C9D" w:rsidP="00B572D1">
      <w:pPr>
        <w:spacing w:line="276" w:lineRule="auto"/>
        <w:jc w:val="center"/>
        <w:rPr>
          <w:rFonts w:ascii="Times New Roman" w:hAnsi="Times New Roman" w:cs="Times New Roman"/>
          <w:sz w:val="24"/>
          <w:szCs w:val="24"/>
        </w:rPr>
      </w:pPr>
      <w:r>
        <w:rPr>
          <w:rFonts w:ascii="Times New Roman" w:hAnsi="Times New Roman" w:cs="Times New Roman"/>
          <w:b/>
          <w:sz w:val="24"/>
          <w:szCs w:val="24"/>
          <w:u w:val="single"/>
        </w:rPr>
        <w:t>Manikandan A</w:t>
      </w:r>
      <w:r>
        <w:rPr>
          <w:rFonts w:ascii="Times New Roman" w:hAnsi="Times New Roman" w:cs="Times New Roman"/>
          <w:b/>
          <w:sz w:val="28"/>
          <w:szCs w:val="24"/>
          <w:u w:val="single"/>
          <w:vertAlign w:val="superscript"/>
        </w:rPr>
        <w:t>1</w:t>
      </w:r>
      <w:r>
        <w:rPr>
          <w:rFonts w:ascii="Times New Roman" w:hAnsi="Times New Roman" w:cs="Times New Roman"/>
          <w:sz w:val="24"/>
          <w:szCs w:val="24"/>
        </w:rPr>
        <w:t>, Balaji.P</w:t>
      </w:r>
      <w:r>
        <w:rPr>
          <w:rFonts w:ascii="Times New Roman" w:hAnsi="Times New Roman" w:cs="Times New Roman"/>
          <w:sz w:val="28"/>
          <w:szCs w:val="24"/>
          <w:vertAlign w:val="superscript"/>
        </w:rPr>
        <w:t>2</w:t>
      </w:r>
      <w:r>
        <w:rPr>
          <w:rFonts w:ascii="Times New Roman" w:hAnsi="Times New Roman" w:cs="Times New Roman"/>
          <w:sz w:val="24"/>
          <w:szCs w:val="24"/>
        </w:rPr>
        <w:t>, Srinivasan.V</w:t>
      </w:r>
      <w:r>
        <w:rPr>
          <w:rFonts w:ascii="Times New Roman" w:hAnsi="Times New Roman" w:cs="Times New Roman"/>
          <w:sz w:val="24"/>
          <w:szCs w:val="24"/>
          <w:vertAlign w:val="superscript"/>
        </w:rPr>
        <w:t>1</w:t>
      </w:r>
      <w:r>
        <w:rPr>
          <w:rFonts w:ascii="Times New Roman" w:hAnsi="Times New Roman" w:cs="Times New Roman"/>
          <w:sz w:val="24"/>
          <w:szCs w:val="24"/>
        </w:rPr>
        <w:t>,</w:t>
      </w:r>
      <w:r w:rsidR="00B572D1" w:rsidRPr="00B572D1">
        <w:rPr>
          <w:rFonts w:ascii="Times New Roman" w:hAnsi="Times New Roman" w:cs="Times New Roman"/>
          <w:sz w:val="24"/>
          <w:szCs w:val="24"/>
        </w:rPr>
        <w:t xml:space="preserve"> </w:t>
      </w:r>
      <w:r w:rsidR="00B572D1">
        <w:rPr>
          <w:rFonts w:ascii="Times New Roman" w:hAnsi="Times New Roman" w:cs="Times New Roman"/>
          <w:sz w:val="24"/>
          <w:szCs w:val="24"/>
        </w:rPr>
        <w:t>Arun .S</w:t>
      </w:r>
      <w:r w:rsidR="00B572D1">
        <w:rPr>
          <w:rFonts w:ascii="Times New Roman" w:hAnsi="Times New Roman" w:cs="Times New Roman"/>
          <w:sz w:val="24"/>
          <w:szCs w:val="24"/>
          <w:vertAlign w:val="superscript"/>
        </w:rPr>
        <w:t>1</w:t>
      </w:r>
      <w:r w:rsidR="00B572D1">
        <w:rPr>
          <w:rFonts w:ascii="Times New Roman" w:hAnsi="Times New Roman" w:cs="Times New Roman"/>
          <w:sz w:val="24"/>
          <w:szCs w:val="24"/>
        </w:rPr>
        <w:t xml:space="preserve">, </w:t>
      </w:r>
      <w:r>
        <w:rPr>
          <w:rFonts w:ascii="Times New Roman" w:hAnsi="Times New Roman" w:cs="Times New Roman"/>
          <w:sz w:val="24"/>
          <w:szCs w:val="24"/>
        </w:rPr>
        <w:t>Rajkumar.K.S</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B572D1">
        <w:rPr>
          <w:rFonts w:ascii="Times New Roman" w:hAnsi="Times New Roman" w:cs="Times New Roman"/>
          <w:sz w:val="24"/>
          <w:szCs w:val="24"/>
        </w:rPr>
        <w:t>Dinesh Babu M</w:t>
      </w:r>
      <w:r>
        <w:rPr>
          <w:rFonts w:ascii="Times New Roman" w:hAnsi="Times New Roman" w:cs="Times New Roman"/>
          <w:sz w:val="24"/>
          <w:szCs w:val="24"/>
          <w:vertAlign w:val="subscript"/>
        </w:rPr>
        <w:t>,</w:t>
      </w:r>
      <w:r>
        <w:rPr>
          <w:rFonts w:ascii="Times New Roman" w:hAnsi="Times New Roman" w:cs="Times New Roman"/>
          <w:sz w:val="24"/>
          <w:szCs w:val="24"/>
        </w:rPr>
        <w:t xml:space="preserve"> </w:t>
      </w:r>
      <w:r>
        <w:rPr>
          <w:rFonts w:ascii="Times New Roman" w:hAnsi="Times New Roman" w:cs="Times New Roman"/>
          <w:b/>
          <w:sz w:val="24"/>
          <w:szCs w:val="24"/>
        </w:rPr>
        <w:t>Thirumurugan.R</w:t>
      </w:r>
      <w:r>
        <w:rPr>
          <w:rFonts w:ascii="Times New Roman" w:hAnsi="Times New Roman" w:cs="Times New Roman"/>
          <w:b/>
          <w:sz w:val="28"/>
          <w:szCs w:val="24"/>
          <w:vertAlign w:val="superscript"/>
        </w:rPr>
        <w:t>1, 2</w:t>
      </w:r>
    </w:p>
    <w:p w:rsidR="001B1C9D" w:rsidRDefault="001B1C9D" w:rsidP="00B572D1">
      <w:pPr>
        <w:spacing w:line="276" w:lineRule="auto"/>
        <w:jc w:val="center"/>
        <w:rPr>
          <w:rFonts w:ascii="Times New Roman" w:hAnsi="Times New Roman" w:cs="Times New Roman"/>
          <w:sz w:val="24"/>
          <w:szCs w:val="24"/>
        </w:rPr>
      </w:pPr>
      <w:r w:rsidRPr="009B7119">
        <w:rPr>
          <w:rFonts w:ascii="Times New Roman" w:hAnsi="Times New Roman" w:cs="Times New Roman"/>
          <w:sz w:val="24"/>
          <w:szCs w:val="24"/>
          <w:vertAlign w:val="superscript"/>
        </w:rPr>
        <w:t>1</w:t>
      </w:r>
      <w:r>
        <w:rPr>
          <w:rFonts w:ascii="Times New Roman" w:hAnsi="Times New Roman" w:cs="Times New Roman"/>
          <w:sz w:val="24"/>
          <w:szCs w:val="24"/>
        </w:rPr>
        <w:t xml:space="preserve">Laboratory of Aquabiotics/Nanoscience, </w:t>
      </w:r>
      <w:r w:rsidRPr="009B7119">
        <w:rPr>
          <w:rFonts w:ascii="Times New Roman" w:hAnsi="Times New Roman" w:cs="Times New Roman"/>
          <w:sz w:val="24"/>
          <w:szCs w:val="24"/>
        </w:rPr>
        <w:t>Department</w:t>
      </w:r>
      <w:r>
        <w:rPr>
          <w:rFonts w:ascii="Times New Roman" w:hAnsi="Times New Roman" w:cs="Times New Roman"/>
          <w:sz w:val="24"/>
          <w:szCs w:val="24"/>
        </w:rPr>
        <w:t xml:space="preserve"> of Animal Science, School of Life Sciences, Bharathidasan University, Tiruchirappalli-620 024, India.</w:t>
      </w:r>
    </w:p>
    <w:p w:rsidR="00B572D1" w:rsidRDefault="00B572D1" w:rsidP="00B572D1">
      <w:pPr>
        <w:spacing w:line="276" w:lineRule="auto"/>
        <w:jc w:val="both"/>
        <w:rPr>
          <w:rFonts w:ascii="Times New Roman" w:hAnsi="Times New Roman" w:cs="Times New Roman"/>
          <w:sz w:val="24"/>
          <w:szCs w:val="24"/>
        </w:rPr>
      </w:pPr>
      <w:r>
        <w:rPr>
          <w:rFonts w:ascii="Times New Roman" w:hAnsi="Times New Roman" w:cs="Times New Roman"/>
          <w:sz w:val="24"/>
          <w:szCs w:val="24"/>
          <w:vertAlign w:val="superscript"/>
        </w:rPr>
        <w:tab/>
      </w:r>
      <w:r w:rsidR="001B1C9D">
        <w:rPr>
          <w:rFonts w:ascii="Times New Roman" w:hAnsi="Times New Roman" w:cs="Times New Roman"/>
          <w:sz w:val="24"/>
          <w:szCs w:val="24"/>
          <w:vertAlign w:val="superscript"/>
        </w:rPr>
        <w:t>2</w:t>
      </w:r>
      <w:r w:rsidR="001B1C9D">
        <w:rPr>
          <w:rFonts w:ascii="Times New Roman" w:hAnsi="Times New Roman" w:cs="Times New Roman"/>
          <w:sz w:val="24"/>
          <w:szCs w:val="24"/>
        </w:rPr>
        <w:t xml:space="preserve">National Centre for Alternatives to Animal Experiments, Bharathidasan University, </w:t>
      </w:r>
    </w:p>
    <w:p w:rsidR="001B1C9D" w:rsidRDefault="00B572D1" w:rsidP="00B572D1">
      <w:pPr>
        <w:spacing w:line="276" w:lineRule="auto"/>
        <w:jc w:val="both"/>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B1C9D">
        <w:rPr>
          <w:rFonts w:ascii="Times New Roman" w:hAnsi="Times New Roman" w:cs="Times New Roman"/>
          <w:sz w:val="24"/>
          <w:szCs w:val="24"/>
        </w:rPr>
        <w:t>Tiruchirappalli-620 024, India.</w:t>
      </w:r>
    </w:p>
    <w:p w:rsidR="00AE3E37" w:rsidRDefault="00AE3E37">
      <w:pPr>
        <w:pStyle w:val="BodyText"/>
        <w:rPr>
          <w:rFonts w:ascii="Arial"/>
          <w:sz w:val="20"/>
        </w:rPr>
      </w:pPr>
    </w:p>
    <w:p w:rsidR="00AE3E37" w:rsidRDefault="00AE3E37">
      <w:pPr>
        <w:rPr>
          <w:rFonts w:ascii="Arial"/>
          <w:sz w:val="21"/>
        </w:rPr>
        <w:sectPr w:rsidR="00AE3E37" w:rsidSect="001B1C9D">
          <w:headerReference w:type="default" r:id="rId7"/>
          <w:footerReference w:type="default" r:id="rId8"/>
          <w:type w:val="continuous"/>
          <w:pgSz w:w="11910" w:h="16840"/>
          <w:pgMar w:top="81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831D12" w:rsidRDefault="001D55C6" w:rsidP="00831D12">
      <w:pPr>
        <w:autoSpaceDE w:val="0"/>
        <w:autoSpaceDN w:val="0"/>
        <w:adjustRightInd w:val="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ab/>
      </w:r>
      <w:r w:rsidR="00831D12" w:rsidRPr="00A43C24">
        <w:rPr>
          <w:rFonts w:ascii="Times New Roman" w:hAnsi="Times New Roman" w:cs="Times New Roman"/>
          <w:bCs/>
          <w:color w:val="000000"/>
          <w:sz w:val="24"/>
          <w:szCs w:val="24"/>
        </w:rPr>
        <w:t xml:space="preserve">Nanotechnology is a fast emerging field which deals with the synthesis of nanoparticles having a variety of applications in various fields. Zinc oxide nanoparticles were synthesized biologically using plant leaf extract of </w:t>
      </w:r>
      <w:r w:rsidR="00831D12" w:rsidRPr="00F62139">
        <w:rPr>
          <w:rFonts w:ascii="Times New Roman" w:hAnsi="Times New Roman" w:cs="Times New Roman"/>
          <w:bCs/>
          <w:i/>
          <w:color w:val="000000"/>
          <w:sz w:val="24"/>
          <w:szCs w:val="24"/>
        </w:rPr>
        <w:t>Syzygium cumini</w:t>
      </w:r>
      <w:r w:rsidR="00831D12" w:rsidRPr="00A43C24">
        <w:rPr>
          <w:rFonts w:ascii="Times New Roman" w:hAnsi="Times New Roman" w:cs="Times New Roman"/>
          <w:bCs/>
          <w:color w:val="000000"/>
          <w:sz w:val="24"/>
          <w:szCs w:val="24"/>
        </w:rPr>
        <w:t xml:space="preserve"> (Java plum)</w:t>
      </w:r>
      <w:r w:rsidR="00565C2A">
        <w:rPr>
          <w:rFonts w:ascii="Times New Roman" w:hAnsi="Times New Roman" w:cs="Times New Roman"/>
          <w:bCs/>
          <w:color w:val="000000"/>
          <w:sz w:val="24"/>
          <w:szCs w:val="24"/>
        </w:rPr>
        <w:t xml:space="preserve"> as a reducing agent</w:t>
      </w:r>
      <w:r w:rsidR="00831D12" w:rsidRPr="00A43C24">
        <w:rPr>
          <w:rFonts w:ascii="Times New Roman" w:hAnsi="Times New Roman" w:cs="Times New Roman"/>
          <w:bCs/>
          <w:color w:val="000000"/>
          <w:sz w:val="24"/>
          <w:szCs w:val="24"/>
        </w:rPr>
        <w:t xml:space="preserve">. </w:t>
      </w:r>
      <w:r w:rsidR="00D37A32">
        <w:rPr>
          <w:rFonts w:ascii="Times New Roman" w:hAnsi="Times New Roman" w:cs="Times New Roman"/>
          <w:bCs/>
          <w:color w:val="000000"/>
          <w:sz w:val="24"/>
          <w:szCs w:val="24"/>
        </w:rPr>
        <w:t>T</w:t>
      </w:r>
      <w:r w:rsidR="00831D12" w:rsidRPr="00A43C24">
        <w:rPr>
          <w:rFonts w:ascii="Times New Roman" w:hAnsi="Times New Roman" w:cs="Times New Roman"/>
          <w:bCs/>
          <w:color w:val="000000"/>
          <w:sz w:val="24"/>
          <w:szCs w:val="24"/>
        </w:rPr>
        <w:t>his medicinal plant has various properties attributed to the presence of bioactive compounds such as phenols, flavonoids, and tannins in different parts of the plant, although lack in the knowledge on their action of mechanisms. Synthesis of nanop</w:t>
      </w:r>
      <w:r w:rsidR="00831D12">
        <w:rPr>
          <w:rFonts w:ascii="Times New Roman" w:hAnsi="Times New Roman" w:cs="Times New Roman"/>
          <w:bCs/>
          <w:color w:val="000000"/>
          <w:sz w:val="24"/>
          <w:szCs w:val="24"/>
        </w:rPr>
        <w:t>articles was confirmed by the U</w:t>
      </w:r>
      <w:r w:rsidR="00831D12" w:rsidRPr="00A43C24">
        <w:rPr>
          <w:rFonts w:ascii="Times New Roman" w:hAnsi="Times New Roman" w:cs="Times New Roman"/>
          <w:bCs/>
          <w:color w:val="000000"/>
          <w:sz w:val="24"/>
          <w:szCs w:val="24"/>
        </w:rPr>
        <w:t>V- Vis peak at a specific wavelength and characterized by X-ray diffractometer (XRD), Fourier transform infrared spectroscopy (FT-IR), Scanning electron microscopy (SEM) and Transmission Electron Microscope (TEM). The bio stabilized nanoparticles were studied as a potentia</w:t>
      </w:r>
      <w:r w:rsidR="005C6573">
        <w:rPr>
          <w:rFonts w:ascii="Times New Roman" w:hAnsi="Times New Roman" w:cs="Times New Roman"/>
          <w:bCs/>
          <w:color w:val="000000"/>
          <w:sz w:val="24"/>
          <w:szCs w:val="24"/>
        </w:rPr>
        <w:t>l antioxidant, antimicrobial agent</w:t>
      </w:r>
      <w:r w:rsidR="00831D12" w:rsidRPr="00A43C24">
        <w:rPr>
          <w:rFonts w:ascii="Times New Roman" w:hAnsi="Times New Roman" w:cs="Times New Roman"/>
          <w:bCs/>
          <w:color w:val="000000"/>
          <w:sz w:val="24"/>
          <w:szCs w:val="24"/>
        </w:rPr>
        <w:t xml:space="preserve">. </w:t>
      </w:r>
      <w:r w:rsidR="00831D12">
        <w:rPr>
          <w:rFonts w:ascii="Times New Roman" w:hAnsi="Times New Roman" w:cs="Times New Roman"/>
          <w:bCs/>
          <w:color w:val="000000"/>
          <w:sz w:val="24"/>
          <w:szCs w:val="24"/>
        </w:rPr>
        <w:t xml:space="preserve">ZnoNPs improve many of the indices in various diabetic dysfunctions. </w:t>
      </w:r>
      <w:r w:rsidR="00565C2A">
        <w:rPr>
          <w:rFonts w:ascii="Times New Roman" w:hAnsi="Times New Roman" w:cs="Times New Roman"/>
          <w:bCs/>
          <w:color w:val="000000"/>
          <w:sz w:val="24"/>
          <w:szCs w:val="24"/>
        </w:rPr>
        <w:t xml:space="preserve">In vitro models will be the best option for the screening phase of drug discovery and testing the pharmacological activity of the compound. </w:t>
      </w:r>
      <w:r w:rsidR="00831D12">
        <w:rPr>
          <w:rFonts w:ascii="Times New Roman" w:hAnsi="Times New Roman" w:cs="Times New Roman"/>
          <w:bCs/>
          <w:color w:val="000000"/>
          <w:sz w:val="24"/>
          <w:szCs w:val="24"/>
        </w:rPr>
        <w:t xml:space="preserve">With this evidence, this study was designed to evaluate the </w:t>
      </w:r>
      <w:r w:rsidR="00A84C3C">
        <w:rPr>
          <w:rFonts w:ascii="Times New Roman" w:hAnsi="Times New Roman" w:cs="Times New Roman"/>
          <w:bCs/>
          <w:color w:val="000000"/>
          <w:sz w:val="24"/>
          <w:szCs w:val="24"/>
        </w:rPr>
        <w:t xml:space="preserve">invitro </w:t>
      </w:r>
      <w:r w:rsidR="00831D12">
        <w:rPr>
          <w:rFonts w:ascii="Times New Roman" w:hAnsi="Times New Roman" w:cs="Times New Roman"/>
          <w:bCs/>
          <w:color w:val="000000"/>
          <w:sz w:val="24"/>
          <w:szCs w:val="24"/>
        </w:rPr>
        <w:t>an</w:t>
      </w:r>
      <w:r>
        <w:rPr>
          <w:rFonts w:ascii="Times New Roman" w:hAnsi="Times New Roman" w:cs="Times New Roman"/>
          <w:bCs/>
          <w:color w:val="000000"/>
          <w:sz w:val="24"/>
          <w:szCs w:val="24"/>
        </w:rPr>
        <w:t>t</w:t>
      </w:r>
      <w:r w:rsidR="00831D12">
        <w:rPr>
          <w:rFonts w:ascii="Times New Roman" w:hAnsi="Times New Roman" w:cs="Times New Roman"/>
          <w:bCs/>
          <w:color w:val="000000"/>
          <w:sz w:val="24"/>
          <w:szCs w:val="24"/>
        </w:rPr>
        <w:t>i- diabetic nature of the Zn</w:t>
      </w:r>
      <w:r w:rsidR="00B20199">
        <w:rPr>
          <w:rFonts w:ascii="Times New Roman" w:hAnsi="Times New Roman" w:cs="Times New Roman"/>
          <w:bCs/>
          <w:color w:val="000000"/>
          <w:sz w:val="24"/>
          <w:szCs w:val="24"/>
        </w:rPr>
        <w:t>O</w:t>
      </w:r>
      <w:r w:rsidR="00831D12">
        <w:rPr>
          <w:rFonts w:ascii="Times New Roman" w:hAnsi="Times New Roman" w:cs="Times New Roman"/>
          <w:bCs/>
          <w:color w:val="000000"/>
          <w:sz w:val="24"/>
          <w:szCs w:val="24"/>
        </w:rPr>
        <w:t xml:space="preserve">NPs in </w:t>
      </w:r>
      <w:r w:rsidR="00565C2A">
        <w:rPr>
          <w:rFonts w:ascii="Times New Roman" w:hAnsi="Times New Roman" w:cs="Times New Roman"/>
          <w:bCs/>
          <w:color w:val="000000"/>
          <w:sz w:val="24"/>
          <w:szCs w:val="24"/>
        </w:rPr>
        <w:t>A</w:t>
      </w:r>
      <w:r w:rsidR="00831D12">
        <w:rPr>
          <w:rFonts w:ascii="Times New Roman" w:hAnsi="Times New Roman" w:cs="Times New Roman"/>
          <w:bCs/>
          <w:color w:val="000000"/>
          <w:sz w:val="24"/>
          <w:szCs w:val="24"/>
        </w:rPr>
        <w:t>dipocytes</w:t>
      </w:r>
      <w:r w:rsidR="00A84C3C">
        <w:rPr>
          <w:rFonts w:ascii="Times New Roman" w:hAnsi="Times New Roman" w:cs="Times New Roman"/>
          <w:bCs/>
          <w:color w:val="000000"/>
          <w:sz w:val="24"/>
          <w:szCs w:val="24"/>
        </w:rPr>
        <w:t>,</w:t>
      </w:r>
      <w:r w:rsidR="00B20199">
        <w:rPr>
          <w:rFonts w:ascii="Times New Roman" w:hAnsi="Times New Roman" w:cs="Times New Roman"/>
          <w:bCs/>
          <w:color w:val="000000"/>
          <w:sz w:val="24"/>
          <w:szCs w:val="24"/>
        </w:rPr>
        <w:t xml:space="preserve"> particularly PPAR</w:t>
      </w:r>
      <w:r w:rsidR="00B20199" w:rsidRPr="00B20199">
        <w:rPr>
          <w:rFonts w:ascii="Times New Roman" w:hAnsi="Times New Roman" w:cs="Times New Roman"/>
          <w:bCs/>
          <w:color w:val="000000"/>
          <w:sz w:val="24"/>
          <w:szCs w:val="24"/>
        </w:rPr>
        <w:t>γ</w:t>
      </w:r>
      <w:r w:rsidR="00B20199">
        <w:rPr>
          <w:rFonts w:ascii="Times New Roman" w:hAnsi="Times New Roman" w:cs="Times New Roman"/>
          <w:bCs/>
          <w:color w:val="000000"/>
          <w:sz w:val="24"/>
          <w:szCs w:val="24"/>
        </w:rPr>
        <w:t xml:space="preserve"> (</w:t>
      </w:r>
      <w:r w:rsidR="00B20199" w:rsidRPr="00B20199">
        <w:rPr>
          <w:rFonts w:ascii="Times New Roman" w:hAnsi="Times New Roman" w:cs="Times New Roman"/>
          <w:bCs/>
          <w:color w:val="000000"/>
          <w:sz w:val="24"/>
          <w:szCs w:val="24"/>
        </w:rPr>
        <w:t>peroxisome proliferator-activated receptor gamma</w:t>
      </w:r>
      <w:r w:rsidR="00B20199">
        <w:rPr>
          <w:rFonts w:ascii="Times New Roman" w:hAnsi="Times New Roman" w:cs="Times New Roman"/>
          <w:bCs/>
          <w:color w:val="000000"/>
          <w:sz w:val="24"/>
          <w:szCs w:val="24"/>
        </w:rPr>
        <w:t>) which plays a critical role in peripheral glucose homeostasis and insulin sensitivity. PPAR</w:t>
      </w:r>
      <w:r w:rsidR="00B20199" w:rsidRPr="00B20199">
        <w:rPr>
          <w:rFonts w:ascii="Times New Roman" w:hAnsi="Times New Roman" w:cs="Times New Roman"/>
          <w:bCs/>
          <w:color w:val="000000"/>
          <w:sz w:val="24"/>
          <w:szCs w:val="24"/>
        </w:rPr>
        <w:t>γ</w:t>
      </w:r>
      <w:r w:rsidR="00B20199">
        <w:rPr>
          <w:rFonts w:ascii="Times New Roman" w:hAnsi="Times New Roman" w:cs="Times New Roman"/>
          <w:bCs/>
          <w:color w:val="000000"/>
          <w:sz w:val="24"/>
          <w:szCs w:val="24"/>
        </w:rPr>
        <w:t xml:space="preserve"> was inhibited by </w:t>
      </w:r>
      <w:r w:rsidR="00D37A32">
        <w:rPr>
          <w:rFonts w:ascii="Times New Roman" w:hAnsi="Times New Roman" w:cs="Times New Roman"/>
          <w:bCs/>
          <w:color w:val="000000"/>
          <w:sz w:val="24"/>
          <w:szCs w:val="24"/>
        </w:rPr>
        <w:t>ZnONPs and</w:t>
      </w:r>
      <w:r w:rsidR="00B20199">
        <w:rPr>
          <w:rFonts w:ascii="Times New Roman" w:hAnsi="Times New Roman" w:cs="Times New Roman"/>
          <w:bCs/>
          <w:color w:val="000000"/>
          <w:sz w:val="24"/>
          <w:szCs w:val="24"/>
        </w:rPr>
        <w:t xml:space="preserve"> enhance the insulin sentivity and lipid accumulation</w:t>
      </w:r>
      <w:r w:rsidR="00342010">
        <w:rPr>
          <w:rFonts w:ascii="Times New Roman" w:hAnsi="Times New Roman" w:cs="Times New Roman"/>
          <w:bCs/>
          <w:color w:val="000000"/>
          <w:sz w:val="24"/>
          <w:szCs w:val="24"/>
        </w:rPr>
        <w:t xml:space="preserve">. </w:t>
      </w:r>
      <w:r w:rsidR="00A84174">
        <w:rPr>
          <w:rFonts w:ascii="Times New Roman" w:hAnsi="Times New Roman" w:cs="Times New Roman"/>
          <w:bCs/>
          <w:color w:val="000000"/>
          <w:sz w:val="24"/>
          <w:szCs w:val="24"/>
        </w:rPr>
        <w:t>This study</w:t>
      </w:r>
      <w:r w:rsidR="00342010">
        <w:rPr>
          <w:rFonts w:ascii="Times New Roman" w:hAnsi="Times New Roman" w:cs="Times New Roman"/>
          <w:bCs/>
          <w:color w:val="000000"/>
          <w:sz w:val="24"/>
          <w:szCs w:val="24"/>
        </w:rPr>
        <w:t xml:space="preserve"> confirmed the efficiency of ZnONPs as the potential anti-diabetic agent.</w:t>
      </w:r>
    </w:p>
    <w:p w:rsidR="001E3C8A" w:rsidRDefault="001E3C8A" w:rsidP="00831D12">
      <w:pPr>
        <w:autoSpaceDE w:val="0"/>
        <w:autoSpaceDN w:val="0"/>
        <w:adjustRightInd w:val="0"/>
        <w:jc w:val="both"/>
        <w:rPr>
          <w:rFonts w:ascii="Times New Roman" w:hAnsi="Times New Roman" w:cs="Times New Roman"/>
          <w:bCs/>
          <w:color w:val="000000"/>
          <w:sz w:val="24"/>
          <w:szCs w:val="24"/>
        </w:rPr>
      </w:pPr>
    </w:p>
    <w:p w:rsidR="001E3C8A" w:rsidRDefault="001E3C8A" w:rsidP="00831D12">
      <w:pPr>
        <w:autoSpaceDE w:val="0"/>
        <w:autoSpaceDN w:val="0"/>
        <w:adjustRightInd w:val="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Keywords: Nanoparticles, Anti-diabetic, Adipocytes, PPAR</w:t>
      </w:r>
      <w:r w:rsidRPr="00B20199">
        <w:rPr>
          <w:rFonts w:ascii="Times New Roman" w:hAnsi="Times New Roman" w:cs="Times New Roman"/>
          <w:bCs/>
          <w:color w:val="000000"/>
          <w:sz w:val="24"/>
          <w:szCs w:val="24"/>
        </w:rPr>
        <w:t>γ</w:t>
      </w:r>
    </w:p>
    <w:p w:rsidR="00AE3E37" w:rsidRDefault="000A73BE">
      <w:pPr>
        <w:pStyle w:val="Heading3"/>
        <w:spacing w:before="74"/>
      </w:pPr>
      <w:r>
        <w:rPr>
          <w:rFonts w:ascii="Calibri"/>
          <w:noProof/>
          <w:sz w:val="4"/>
          <w:lang w:val="en-IN" w:eastAsia="en-IN"/>
        </w:rPr>
        <w:t xml:space="preserve"> </w:t>
      </w:r>
      <w:r w:rsidR="00AA366E" w:rsidRPr="00AA366E">
        <w:rPr>
          <w:rFonts w:ascii="Calibri"/>
          <w:noProof/>
          <w:sz w:val="4"/>
          <w:lang w:val="en-IN" w:eastAsia="en-IN"/>
        </w:rPr>
      </w:r>
      <w:r w:rsidR="00AA366E">
        <w:rPr>
          <w:rFonts w:ascii="Calibri"/>
          <w:noProof/>
          <w:sz w:val="4"/>
          <w:lang w:val="en-IN" w:eastAsia="en-IN"/>
        </w:rPr>
        <w:pict>
          <v:group id="Group 4" o:spid="_x0000_s1031" style="width:517.55pt;height:3.55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r w:rsidR="00A9710C">
        <w:rPr>
          <w:b w:val="0"/>
        </w:rPr>
        <w:br w:type="column"/>
      </w:r>
      <w:r w:rsidR="00831D12">
        <w:rPr>
          <w:color w:val="BF5A14"/>
        </w:rPr>
        <w:lastRenderedPageBreak/>
        <w:t>Graphical abstract</w:t>
      </w:r>
    </w:p>
    <w:p w:rsidR="00AE3E37" w:rsidRDefault="00342010">
      <w:pPr>
        <w:pStyle w:val="BodyText"/>
        <w:spacing w:before="2"/>
        <w:rPr>
          <w:rFonts w:ascii="Arial"/>
          <w:b/>
          <w:sz w:val="16"/>
        </w:rPr>
      </w:pPr>
      <w:r>
        <w:rPr>
          <w:rFonts w:ascii="Arial"/>
          <w:b/>
          <w:noProof/>
          <w:sz w:val="16"/>
        </w:rPr>
        <w:drawing>
          <wp:anchor distT="0" distB="0" distL="114300" distR="114300" simplePos="0" relativeHeight="251658240" behindDoc="0" locked="0" layoutInCell="1" allowOverlap="1">
            <wp:simplePos x="0" y="0"/>
            <wp:positionH relativeFrom="column">
              <wp:posOffset>27305</wp:posOffset>
            </wp:positionH>
            <wp:positionV relativeFrom="paragraph">
              <wp:posOffset>20955</wp:posOffset>
            </wp:positionV>
            <wp:extent cx="3581400" cy="2200275"/>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3581400" cy="2200275"/>
                    </a:xfrm>
                    <a:prstGeom prst="rect">
                      <a:avLst/>
                    </a:prstGeom>
                    <a:noFill/>
                  </pic:spPr>
                </pic:pic>
              </a:graphicData>
            </a:graphic>
          </wp:anchor>
        </w:drawing>
      </w:r>
    </w:p>
    <w:p w:rsidR="003868F6" w:rsidRDefault="005973B9" w:rsidP="005973B9">
      <w:pPr>
        <w:spacing w:line="204" w:lineRule="exact"/>
        <w:rPr>
          <w:rFonts w:ascii="Arial"/>
          <w:b/>
          <w:color w:val="BF5A14"/>
          <w:sz w:val="20"/>
        </w:rPr>
      </w:pPr>
      <w:r>
        <w:rPr>
          <w:rFonts w:ascii="Arial"/>
          <w:b/>
          <w:color w:val="BF5A14"/>
          <w:sz w:val="20"/>
        </w:rPr>
        <w:br/>
      </w:r>
    </w:p>
    <w:p w:rsidR="003868F6" w:rsidRDefault="003868F6" w:rsidP="005973B9">
      <w:pPr>
        <w:spacing w:line="204" w:lineRule="exact"/>
        <w:rPr>
          <w:rFonts w:ascii="Arial"/>
          <w:b/>
          <w:color w:val="BF5A14"/>
          <w:sz w:val="20"/>
        </w:rPr>
      </w:pPr>
    </w:p>
    <w:p w:rsidR="003868F6" w:rsidRDefault="003868F6" w:rsidP="005973B9">
      <w:pPr>
        <w:spacing w:line="204" w:lineRule="exact"/>
        <w:rPr>
          <w:rFonts w:ascii="Arial"/>
          <w:b/>
          <w:color w:val="BF5A14"/>
          <w:sz w:val="20"/>
        </w:rPr>
      </w:pPr>
    </w:p>
    <w:p w:rsidR="003868F6" w:rsidRDefault="003868F6" w:rsidP="005973B9">
      <w:pPr>
        <w:spacing w:line="204" w:lineRule="exact"/>
        <w:rPr>
          <w:rFonts w:ascii="Arial"/>
          <w:b/>
          <w:color w:val="BF5A14"/>
          <w:sz w:val="20"/>
        </w:rPr>
      </w:pPr>
    </w:p>
    <w:p w:rsidR="003868F6" w:rsidRDefault="003868F6" w:rsidP="005973B9">
      <w:pPr>
        <w:spacing w:line="204" w:lineRule="exact"/>
        <w:rPr>
          <w:rFonts w:ascii="Arial"/>
          <w:b/>
          <w:color w:val="BF5A14"/>
          <w:sz w:val="20"/>
        </w:rPr>
      </w:pPr>
    </w:p>
    <w:p w:rsidR="003868F6" w:rsidRDefault="003868F6" w:rsidP="005973B9">
      <w:pPr>
        <w:spacing w:line="204" w:lineRule="exact"/>
        <w:rPr>
          <w:rFonts w:ascii="Arial"/>
          <w:b/>
          <w:color w:val="BF5A14"/>
          <w:sz w:val="20"/>
        </w:rPr>
      </w:pPr>
    </w:p>
    <w:p w:rsidR="003868F6" w:rsidRDefault="003868F6" w:rsidP="005973B9">
      <w:pPr>
        <w:spacing w:line="204" w:lineRule="exact"/>
        <w:rPr>
          <w:rFonts w:ascii="Arial"/>
          <w:b/>
          <w:color w:val="BF5A14"/>
          <w:sz w:val="20"/>
        </w:rPr>
      </w:pPr>
    </w:p>
    <w:p w:rsidR="003868F6" w:rsidRDefault="003868F6" w:rsidP="005973B9">
      <w:pPr>
        <w:spacing w:line="204" w:lineRule="exact"/>
        <w:rPr>
          <w:rFonts w:ascii="Arial"/>
          <w:b/>
          <w:color w:val="BF5A14"/>
          <w:sz w:val="20"/>
        </w:rPr>
      </w:pPr>
    </w:p>
    <w:p w:rsidR="00342010" w:rsidRDefault="003868F6" w:rsidP="005973B9">
      <w:pPr>
        <w:spacing w:line="204" w:lineRule="exact"/>
        <w:rPr>
          <w:rFonts w:ascii="Arial"/>
          <w:b/>
          <w:color w:val="BF5A14"/>
          <w:sz w:val="20"/>
        </w:rPr>
      </w:pPr>
      <w:r>
        <w:rPr>
          <w:rFonts w:ascii="Arial"/>
          <w:b/>
          <w:noProof/>
          <w:color w:val="BF5A14"/>
          <w:sz w:val="20"/>
        </w:rPr>
        <w:drawing>
          <wp:inline distT="0" distB="0" distL="0" distR="0">
            <wp:extent cx="2523490" cy="2560320"/>
            <wp:effectExtent l="19050" t="0" r="0" b="0"/>
            <wp:docPr id="3" name="Picture 5" descr="C:\Users\user\Desktop\adip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adipose.jpg"/>
                    <pic:cNvPicPr>
                      <a:picLocks noChangeAspect="1" noChangeArrowheads="1"/>
                    </pic:cNvPicPr>
                  </pic:nvPicPr>
                  <pic:blipFill>
                    <a:blip r:embed="rId10"/>
                    <a:srcRect/>
                    <a:stretch>
                      <a:fillRect/>
                    </a:stretch>
                  </pic:blipFill>
                  <pic:spPr bwMode="auto">
                    <a:xfrm>
                      <a:off x="0" y="0"/>
                      <a:ext cx="2523490" cy="2560320"/>
                    </a:xfrm>
                    <a:prstGeom prst="rect">
                      <a:avLst/>
                    </a:prstGeom>
                    <a:noFill/>
                    <a:ln w="9525">
                      <a:noFill/>
                      <a:miter lim="800000"/>
                      <a:headEnd/>
                      <a:tailEnd/>
                    </a:ln>
                  </pic:spPr>
                </pic:pic>
              </a:graphicData>
            </a:graphic>
          </wp:inline>
        </w:drawing>
      </w:r>
      <w:r w:rsidR="00AA366E">
        <w:rPr>
          <w:rFonts w:ascii="Arial"/>
          <w:b/>
          <w:color w:val="BF5A14"/>
          <w:sz w:val="20"/>
        </w:rPr>
      </w:r>
      <w:r w:rsidR="00AA366E">
        <w:rPr>
          <w:rFonts w:ascii="Arial"/>
          <w:b/>
          <w:color w:val="BF5A14"/>
          <w:sz w:val="20"/>
        </w:rPr>
        <w:pict>
          <v:group id="_x0000_s1030" editas="canvas" style="width:249.25pt;height:149.55pt;mso-position-horizontal-relative:char;mso-position-vertical-relative:line" coordorigin="2361,3127"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2361;top:3127;width:7200;height:4320" o:preferrelative="f">
              <v:fill o:detectmouseclick="t"/>
              <v:path o:extrusionok="t" o:connecttype="none"/>
              <o:lock v:ext="edit" text="t"/>
            </v:shape>
            <w10:wrap type="none"/>
            <w10:anchorlock/>
          </v:group>
        </w:pict>
      </w:r>
    </w:p>
    <w:p w:rsidR="00342010" w:rsidRDefault="00342010" w:rsidP="005973B9">
      <w:pPr>
        <w:spacing w:line="204" w:lineRule="exact"/>
        <w:rPr>
          <w:rFonts w:ascii="Arial"/>
          <w:b/>
          <w:color w:val="BF5A14"/>
          <w:sz w:val="20"/>
        </w:rPr>
      </w:pPr>
    </w:p>
    <w:p w:rsidR="00342010" w:rsidRDefault="00342010" w:rsidP="005973B9">
      <w:pPr>
        <w:spacing w:line="204" w:lineRule="exact"/>
        <w:rPr>
          <w:rFonts w:ascii="Arial"/>
          <w:b/>
          <w:color w:val="BF5A14"/>
          <w:sz w:val="20"/>
        </w:rPr>
      </w:pPr>
    </w:p>
    <w:p w:rsidR="00342010" w:rsidRDefault="00342010" w:rsidP="005973B9">
      <w:pPr>
        <w:spacing w:line="204" w:lineRule="exact"/>
        <w:rPr>
          <w:rFonts w:ascii="Arial"/>
          <w:b/>
          <w:color w:val="BF5A14"/>
          <w:sz w:val="20"/>
        </w:rPr>
      </w:pPr>
    </w:p>
    <w:p w:rsidR="00342010" w:rsidRDefault="00342010" w:rsidP="005973B9">
      <w:pPr>
        <w:spacing w:line="204" w:lineRule="exact"/>
        <w:rPr>
          <w:rFonts w:ascii="Arial"/>
          <w:b/>
          <w:color w:val="BF5A14"/>
          <w:sz w:val="20"/>
        </w:rPr>
      </w:pPr>
    </w:p>
    <w:p w:rsidR="00342010" w:rsidRDefault="00342010" w:rsidP="005973B9">
      <w:pPr>
        <w:spacing w:line="204" w:lineRule="exact"/>
        <w:rPr>
          <w:rFonts w:ascii="Arial"/>
          <w:b/>
          <w:color w:val="BF5A14"/>
          <w:sz w:val="20"/>
        </w:rPr>
      </w:pPr>
    </w:p>
    <w:p w:rsidR="00342010" w:rsidRDefault="0034201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1D55C6" w:rsidRPr="001D55C6" w:rsidRDefault="001D55C6" w:rsidP="005973B9">
      <w:pPr>
        <w:pStyle w:val="ListParagraph"/>
        <w:numPr>
          <w:ilvl w:val="0"/>
          <w:numId w:val="3"/>
        </w:numPr>
        <w:tabs>
          <w:tab w:val="left" w:pos="384"/>
        </w:tabs>
        <w:spacing w:line="216" w:lineRule="exact"/>
        <w:ind w:right="138" w:hanging="283"/>
        <w:rPr>
          <w:sz w:val="18"/>
        </w:rPr>
      </w:pPr>
      <w:r>
        <w:rPr>
          <w:rFonts w:ascii="Arial" w:hAnsi="Arial" w:cs="Arial"/>
          <w:color w:val="222222"/>
          <w:sz w:val="20"/>
          <w:szCs w:val="20"/>
          <w:shd w:val="clear" w:color="auto" w:fill="FFFFFF"/>
        </w:rPr>
        <w:t>Hasegawa, Y., Ikeda, K., Chen, Y., Alba, D. L., Stifler, D., Shinoda, K, &amp; Chi, J. (2018). Repression of adipose tissue fibrosis through a PRDM16-GTF2IRD1 complex improves systemic glucose homeostasis. </w:t>
      </w:r>
      <w:r>
        <w:rPr>
          <w:rFonts w:ascii="Arial" w:hAnsi="Arial" w:cs="Arial"/>
          <w:i/>
          <w:iCs/>
          <w:color w:val="222222"/>
          <w:sz w:val="20"/>
          <w:szCs w:val="20"/>
          <w:shd w:val="clear" w:color="auto" w:fill="FFFFFF"/>
        </w:rPr>
        <w:t>Cell metabolism</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27</w:t>
      </w:r>
      <w:r>
        <w:rPr>
          <w:rFonts w:ascii="Arial" w:hAnsi="Arial" w:cs="Arial"/>
          <w:color w:val="222222"/>
          <w:sz w:val="20"/>
          <w:szCs w:val="20"/>
          <w:shd w:val="clear" w:color="auto" w:fill="FFFFFF"/>
        </w:rPr>
        <w:t>(1), 180-194.</w:t>
      </w:r>
    </w:p>
    <w:p w:rsidR="00F90EC0" w:rsidRPr="00777CBC" w:rsidRDefault="00F90EC0" w:rsidP="005973B9">
      <w:pPr>
        <w:pStyle w:val="ListParagraph"/>
        <w:numPr>
          <w:ilvl w:val="0"/>
          <w:numId w:val="3"/>
        </w:numPr>
        <w:tabs>
          <w:tab w:val="left" w:pos="384"/>
        </w:tabs>
        <w:spacing w:before="92" w:line="218" w:lineRule="exact"/>
        <w:ind w:hanging="283"/>
        <w:rPr>
          <w:sz w:val="18"/>
        </w:rPr>
      </w:pPr>
      <w:r>
        <w:rPr>
          <w:rFonts w:ascii="Arial" w:hAnsi="Arial" w:cs="Arial"/>
          <w:color w:val="222222"/>
          <w:sz w:val="20"/>
          <w:szCs w:val="20"/>
          <w:shd w:val="clear" w:color="auto" w:fill="FFFFFF"/>
        </w:rPr>
        <w:t>Russo, L., &amp; Lumeng, C. N. (2018). Properties and functions of adipose tissue macrophages in obesity. </w:t>
      </w:r>
      <w:r>
        <w:rPr>
          <w:rFonts w:ascii="Arial" w:hAnsi="Arial" w:cs="Arial"/>
          <w:i/>
          <w:iCs/>
          <w:color w:val="222222"/>
          <w:sz w:val="20"/>
          <w:szCs w:val="20"/>
          <w:shd w:val="clear" w:color="auto" w:fill="FFFFFF"/>
        </w:rPr>
        <w:t>Immunology</w:t>
      </w:r>
      <w:r>
        <w:rPr>
          <w:rFonts w:ascii="Arial" w:hAnsi="Arial" w:cs="Arial"/>
          <w:color w:val="222222"/>
          <w:sz w:val="20"/>
          <w:szCs w:val="20"/>
          <w:shd w:val="clear" w:color="auto" w:fill="FFFFFF"/>
        </w:rPr>
        <w:t>.</w:t>
      </w:r>
      <w:r w:rsidRPr="00F90EC0">
        <w:rPr>
          <w:rFonts w:ascii="Arial" w:hAnsi="Arial" w:cs="Arial"/>
          <w:color w:val="222222"/>
          <w:sz w:val="20"/>
          <w:szCs w:val="20"/>
          <w:shd w:val="clear" w:color="auto" w:fill="FFFFFF"/>
        </w:rPr>
        <w:t xml:space="preserve"> </w:t>
      </w:r>
    </w:p>
    <w:p w:rsidR="00777CBC" w:rsidRPr="00F90EC0" w:rsidRDefault="00777CBC" w:rsidP="005973B9">
      <w:pPr>
        <w:pStyle w:val="ListParagraph"/>
        <w:numPr>
          <w:ilvl w:val="0"/>
          <w:numId w:val="3"/>
        </w:numPr>
        <w:tabs>
          <w:tab w:val="left" w:pos="384"/>
        </w:tabs>
        <w:spacing w:before="92" w:line="218" w:lineRule="exact"/>
        <w:ind w:hanging="283"/>
        <w:rPr>
          <w:sz w:val="18"/>
        </w:rPr>
      </w:pPr>
      <w:r>
        <w:rPr>
          <w:rFonts w:ascii="Arial" w:hAnsi="Arial" w:cs="Arial"/>
          <w:color w:val="222222"/>
          <w:sz w:val="20"/>
          <w:szCs w:val="20"/>
          <w:shd w:val="clear" w:color="auto" w:fill="FFFFFF"/>
        </w:rPr>
        <w:t>Jang, J. Y., Bae, H., Lee, Y. J., Choi, Y. I., Kim, H. J., Park, S. B., ... &amp; Han, B. W. (2018). Structural Basis for the Enhanced Anti-Diabetic Efficacy of Lobeglitazone on PPARγ. </w:t>
      </w:r>
      <w:r>
        <w:rPr>
          <w:rFonts w:ascii="Arial" w:hAnsi="Arial" w:cs="Arial"/>
          <w:i/>
          <w:iCs/>
          <w:color w:val="222222"/>
          <w:sz w:val="20"/>
          <w:szCs w:val="20"/>
          <w:shd w:val="clear" w:color="auto" w:fill="FFFFFF"/>
        </w:rPr>
        <w:t>Scientific reports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w:t>
      </w:r>
      <w:r>
        <w:rPr>
          <w:rFonts w:ascii="Arial" w:hAnsi="Arial" w:cs="Arial"/>
          <w:color w:val="222222"/>
          <w:sz w:val="20"/>
          <w:szCs w:val="20"/>
          <w:shd w:val="clear" w:color="auto" w:fill="FFFFFF"/>
        </w:rPr>
        <w:t>(1), 31.</w:t>
      </w:r>
    </w:p>
    <w:p w:rsidR="00F90EC0" w:rsidRDefault="00F90EC0" w:rsidP="00F90EC0">
      <w:pPr>
        <w:pStyle w:val="ListParagraph"/>
        <w:numPr>
          <w:ilvl w:val="0"/>
          <w:numId w:val="3"/>
        </w:numPr>
        <w:tabs>
          <w:tab w:val="left" w:pos="384"/>
        </w:tabs>
        <w:spacing w:before="92" w:line="218" w:lineRule="exact"/>
        <w:ind w:hanging="283"/>
        <w:rPr>
          <w:sz w:val="18"/>
        </w:rPr>
      </w:pPr>
      <w:r>
        <w:rPr>
          <w:rFonts w:ascii="Arial" w:hAnsi="Arial" w:cs="Arial"/>
          <w:color w:val="222222"/>
          <w:sz w:val="20"/>
          <w:szCs w:val="20"/>
          <w:shd w:val="clear" w:color="auto" w:fill="FFFFFF"/>
        </w:rPr>
        <w:t>Mishra, P. K., Mishra, H., Ekielski, A., Talegaonkar, S., &amp; Vaidya, B. (2017). Zinc oxide nanoparticles: a promising nanomaterial for biomedical applications. </w:t>
      </w:r>
      <w:r>
        <w:rPr>
          <w:rFonts w:ascii="Arial" w:hAnsi="Arial" w:cs="Arial"/>
          <w:i/>
          <w:iCs/>
          <w:color w:val="222222"/>
          <w:sz w:val="20"/>
          <w:szCs w:val="20"/>
          <w:shd w:val="clear" w:color="auto" w:fill="FFFFFF"/>
        </w:rPr>
        <w:t>Drug discovery today</w:t>
      </w:r>
      <w:r>
        <w:rPr>
          <w:rFonts w:ascii="Arial" w:hAnsi="Arial" w:cs="Arial"/>
          <w:color w:val="222222"/>
          <w:sz w:val="20"/>
          <w:szCs w:val="20"/>
          <w:shd w:val="clear" w:color="auto" w:fill="FFFFFF"/>
        </w:rPr>
        <w:t>.</w:t>
      </w:r>
    </w:p>
    <w:p w:rsidR="00F90EC0" w:rsidRPr="00F90EC0" w:rsidRDefault="00F90EC0" w:rsidP="00F90EC0">
      <w:pPr>
        <w:pStyle w:val="ListParagraph"/>
        <w:numPr>
          <w:ilvl w:val="0"/>
          <w:numId w:val="3"/>
        </w:numPr>
        <w:tabs>
          <w:tab w:val="left" w:pos="384"/>
        </w:tabs>
        <w:spacing w:before="92" w:line="218" w:lineRule="exact"/>
        <w:ind w:hanging="283"/>
        <w:rPr>
          <w:sz w:val="18"/>
        </w:rPr>
      </w:pPr>
      <w:r w:rsidRPr="00F90EC0">
        <w:rPr>
          <w:rFonts w:ascii="Arial" w:hAnsi="Arial" w:cs="Arial"/>
          <w:color w:val="222222"/>
          <w:sz w:val="20"/>
          <w:szCs w:val="20"/>
          <w:shd w:val="clear" w:color="auto" w:fill="FFFFFF"/>
        </w:rPr>
        <w:t xml:space="preserve"> Kusminski, C. M., Bickel, P. E., &amp; Scherer, P. E. (2016). Targeting adipose tissue in the treatment of obesity-associated diabetes. </w:t>
      </w:r>
      <w:r w:rsidRPr="00F90EC0">
        <w:rPr>
          <w:rFonts w:ascii="Arial" w:hAnsi="Arial" w:cs="Arial"/>
          <w:i/>
          <w:iCs/>
          <w:color w:val="222222"/>
          <w:sz w:val="20"/>
          <w:szCs w:val="20"/>
          <w:shd w:val="clear" w:color="auto" w:fill="FFFFFF"/>
        </w:rPr>
        <w:t>Nature reviews Drug discovery</w:t>
      </w:r>
      <w:r w:rsidRPr="00F90EC0">
        <w:rPr>
          <w:rFonts w:ascii="Arial" w:hAnsi="Arial" w:cs="Arial"/>
          <w:color w:val="222222"/>
          <w:sz w:val="20"/>
          <w:szCs w:val="20"/>
          <w:shd w:val="clear" w:color="auto" w:fill="FFFFFF"/>
        </w:rPr>
        <w:t>, </w:t>
      </w:r>
      <w:r w:rsidRPr="00F90EC0">
        <w:rPr>
          <w:rFonts w:ascii="Arial" w:hAnsi="Arial" w:cs="Arial"/>
          <w:i/>
          <w:iCs/>
          <w:color w:val="222222"/>
          <w:sz w:val="20"/>
          <w:szCs w:val="20"/>
          <w:shd w:val="clear" w:color="auto" w:fill="FFFFFF"/>
        </w:rPr>
        <w:t>15</w:t>
      </w:r>
      <w:r w:rsidRPr="00F90EC0">
        <w:rPr>
          <w:rFonts w:ascii="Arial" w:hAnsi="Arial" w:cs="Arial"/>
          <w:color w:val="222222"/>
          <w:sz w:val="20"/>
          <w:szCs w:val="20"/>
          <w:shd w:val="clear" w:color="auto" w:fill="FFFFFF"/>
        </w:rPr>
        <w:t>(9), 639.</w:t>
      </w:r>
    </w:p>
    <w:p w:rsidR="00AE3E37" w:rsidRDefault="00AE3E37" w:rsidP="000A73BE">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1E3C8A" w:rsidRDefault="001E3C8A" w:rsidP="00404E5B">
      <w:pPr>
        <w:spacing w:before="92"/>
        <w:ind w:right="4234"/>
        <w:rPr>
          <w:rFonts w:ascii="Arial"/>
          <w:color w:val="BF5A14"/>
        </w:rPr>
      </w:pPr>
      <w:r>
        <w:rPr>
          <w:rFonts w:ascii="Arial"/>
          <w:noProof/>
          <w:color w:val="BF5A14"/>
        </w:rPr>
        <w:lastRenderedPageBreak/>
        <w:drawing>
          <wp:anchor distT="0" distB="0" distL="114300" distR="114300" simplePos="0" relativeHeight="251659264" behindDoc="0" locked="0" layoutInCell="1" allowOverlap="1">
            <wp:simplePos x="0" y="0"/>
            <wp:positionH relativeFrom="column">
              <wp:posOffset>-41275</wp:posOffset>
            </wp:positionH>
            <wp:positionV relativeFrom="paragraph">
              <wp:posOffset>59055</wp:posOffset>
            </wp:positionV>
            <wp:extent cx="914400" cy="914400"/>
            <wp:effectExtent l="19050" t="0" r="0" b="0"/>
            <wp:wrapThrough wrapText="bothSides">
              <wp:wrapPolygon edited="0">
                <wp:start x="-450" y="0"/>
                <wp:lineTo x="-450" y="21150"/>
                <wp:lineTo x="21600" y="21150"/>
                <wp:lineTo x="21600" y="0"/>
                <wp:lineTo x="-450" y="0"/>
              </wp:wrapPolygon>
            </wp:wrapThrough>
            <wp:docPr id="6" name="Picture 6" descr="F:\A.MANIKANDAN\personal\certificates\passport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A.MANIKANDAN\personal\certificates\passport photo.jpg"/>
                    <pic:cNvPicPr>
                      <a:picLocks noChangeAspect="1" noChangeArrowheads="1"/>
                    </pic:cNvPicPr>
                  </pic:nvPicPr>
                  <pic:blipFill>
                    <a:blip r:embed="rId11"/>
                    <a:srcRect/>
                    <a:stretch>
                      <a:fillRect/>
                    </a:stretch>
                  </pic:blipFill>
                  <pic:spPr bwMode="auto">
                    <a:xfrm>
                      <a:off x="0" y="0"/>
                      <a:ext cx="914400" cy="914400"/>
                    </a:xfrm>
                    <a:prstGeom prst="rect">
                      <a:avLst/>
                    </a:prstGeom>
                    <a:noFill/>
                    <a:ln w="9525">
                      <a:noFill/>
                      <a:miter lim="800000"/>
                      <a:headEnd/>
                      <a:tailEnd/>
                    </a:ln>
                  </pic:spPr>
                </pic:pic>
              </a:graphicData>
            </a:graphic>
          </wp:anchor>
        </w:drawing>
      </w:r>
      <w:r w:rsidR="00A9710C">
        <w:rPr>
          <w:rFonts w:ascii="Arial"/>
          <w:color w:val="BF5A14"/>
        </w:rPr>
        <w:t>Biography</w:t>
      </w:r>
      <w:r>
        <w:rPr>
          <w:rFonts w:ascii="Arial"/>
          <w:color w:val="BF5A14"/>
        </w:rPr>
        <w:t xml:space="preserve"> </w:t>
      </w:r>
    </w:p>
    <w:p w:rsidR="00AE3E37" w:rsidRPr="001E3C8A" w:rsidRDefault="001E3C8A" w:rsidP="001E3C8A">
      <w:pPr>
        <w:spacing w:before="41" w:line="276" w:lineRule="auto"/>
        <w:ind w:left="213" w:right="231"/>
        <w:jc w:val="both"/>
        <w:rPr>
          <w:rFonts w:ascii="Arial"/>
          <w:sz w:val="20"/>
          <w:szCs w:val="20"/>
        </w:rPr>
      </w:pPr>
      <w:r w:rsidRPr="00AA366E">
        <w:rPr>
          <w:noProof/>
          <w:sz w:val="18"/>
          <w:lang w:val="en-IN" w:eastAsia="en-IN"/>
        </w:rPr>
        <w:pict>
          <v:line id="Line 3" o:spid="_x0000_s1028" style="position:absolute;left:0;text-align:left;z-index:1072;visibility:visible;mso-wrap-distance-left:0;mso-wrap-distance-right:0;mso-position-horizontal-relative:page" from="159.1pt,70.65pt" to="430.15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1A5F4B" w:rsidRPr="000A73BE">
        <w:rPr>
          <w:rFonts w:ascii="Arial"/>
          <w:sz w:val="20"/>
          <w:szCs w:val="20"/>
        </w:rPr>
        <w:t xml:space="preserve">Manikandan Arumugam has completed his M. Tech Biotechnology, and joined as research scholar in </w:t>
      </w:r>
      <w:r w:rsidR="00A84174" w:rsidRPr="000A73BE">
        <w:rPr>
          <w:rFonts w:ascii="Arial"/>
          <w:sz w:val="20"/>
          <w:szCs w:val="20"/>
        </w:rPr>
        <w:t xml:space="preserve">the </w:t>
      </w:r>
      <w:r w:rsidR="001A5F4B" w:rsidRPr="000A73BE">
        <w:rPr>
          <w:rFonts w:ascii="Arial"/>
          <w:sz w:val="20"/>
          <w:szCs w:val="20"/>
        </w:rPr>
        <w:t xml:space="preserve">department of Animal Science, </w:t>
      </w:r>
      <w:r w:rsidR="00777CBC" w:rsidRPr="000A73BE">
        <w:rPr>
          <w:rFonts w:ascii="Arial"/>
          <w:sz w:val="20"/>
          <w:szCs w:val="20"/>
        </w:rPr>
        <w:t>school of Life Sciences,</w:t>
      </w:r>
      <w:r w:rsidR="001A5F4B" w:rsidRPr="000A73BE">
        <w:rPr>
          <w:rFonts w:ascii="Arial"/>
          <w:sz w:val="20"/>
          <w:szCs w:val="20"/>
        </w:rPr>
        <w:t>Bharathidasan University, Tiruchirappalli-24, Tamil Nadu, India.  He is working on synthesizing nanoparticles from various plant extracts and evaluate its biomedical applications</w:t>
      </w:r>
      <w:r>
        <w:rPr>
          <w:rFonts w:ascii="Arial"/>
          <w:sz w:val="20"/>
          <w:szCs w:val="20"/>
        </w:rPr>
        <w:t xml:space="preserve">    </w:t>
      </w:r>
      <w:r w:rsidR="00A9710C">
        <w:rPr>
          <w:rFonts w:ascii="Arial"/>
          <w:sz w:val="14"/>
        </w:rPr>
        <w:t xml:space="preserve">Email: </w:t>
      </w:r>
      <w:hyperlink r:id="rId12" w:history="1">
        <w:r w:rsidR="00777CBC" w:rsidRPr="00023C36">
          <w:rPr>
            <w:rStyle w:val="Hyperlink"/>
            <w:rFonts w:ascii="Arial"/>
            <w:sz w:val="14"/>
          </w:rPr>
          <w:t>manikandan0312@gmail.com</w:t>
        </w:r>
      </w:hyperlink>
    </w:p>
    <w:p w:rsidR="000A73BE" w:rsidRDefault="000A73BE" w:rsidP="000A73BE">
      <w:pPr>
        <w:pStyle w:val="BodyText"/>
        <w:spacing w:before="2"/>
        <w:rPr>
          <w:rFonts w:ascii="Minion Pro"/>
          <w:sz w:val="24"/>
        </w:rPr>
        <w:sectPr w:rsidR="000A73BE">
          <w:type w:val="continuous"/>
          <w:pgSz w:w="11910" w:h="16840"/>
          <w:pgMar w:top="1740" w:right="600" w:bottom="840" w:left="620" w:header="720" w:footer="720" w:gutter="0"/>
          <w:cols w:space="720"/>
        </w:sectPr>
      </w:pPr>
    </w:p>
    <w:p w:rsidR="00AE3E37" w:rsidRDefault="00AE3E37" w:rsidP="000A73B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22B4" w:rsidRDefault="00BF22B4">
      <w:r>
        <w:separator/>
      </w:r>
    </w:p>
  </w:endnote>
  <w:endnote w:type="continuationSeparator" w:id="1">
    <w:p w:rsidR="00BF22B4" w:rsidRDefault="00BF22B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A366E">
    <w:pPr>
      <w:pStyle w:val="BodyText"/>
      <w:spacing w:line="14" w:lineRule="auto"/>
      <w:rPr>
        <w:sz w:val="20"/>
      </w:rPr>
    </w:pPr>
    <w:r w:rsidRPr="00AA366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A366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A366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22B4" w:rsidRDefault="00BF22B4">
      <w:r>
        <w:separator/>
      </w:r>
    </w:p>
  </w:footnote>
  <w:footnote w:type="continuationSeparator" w:id="1">
    <w:p w:rsidR="00BF22B4" w:rsidRDefault="00BF22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A366E">
    <w:pPr>
      <w:pStyle w:val="BodyText"/>
      <w:spacing w:line="14" w:lineRule="auto"/>
      <w:rPr>
        <w:sz w:val="20"/>
      </w:rPr>
    </w:pPr>
    <w:r w:rsidRPr="00AA366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AA366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A73BE"/>
    <w:rsid w:val="000E2911"/>
    <w:rsid w:val="001263DF"/>
    <w:rsid w:val="00167CD2"/>
    <w:rsid w:val="001A5F4B"/>
    <w:rsid w:val="001B1C9D"/>
    <w:rsid w:val="001D55C6"/>
    <w:rsid w:val="001E3C8A"/>
    <w:rsid w:val="002455EC"/>
    <w:rsid w:val="00292ED9"/>
    <w:rsid w:val="002E1F73"/>
    <w:rsid w:val="00342010"/>
    <w:rsid w:val="00357623"/>
    <w:rsid w:val="003868F6"/>
    <w:rsid w:val="00386B95"/>
    <w:rsid w:val="00404E5B"/>
    <w:rsid w:val="00414F7B"/>
    <w:rsid w:val="004355DC"/>
    <w:rsid w:val="004749B4"/>
    <w:rsid w:val="00494130"/>
    <w:rsid w:val="004F3523"/>
    <w:rsid w:val="00565C2A"/>
    <w:rsid w:val="005973B9"/>
    <w:rsid w:val="005B3A56"/>
    <w:rsid w:val="005C6573"/>
    <w:rsid w:val="006060CE"/>
    <w:rsid w:val="0063497F"/>
    <w:rsid w:val="006D171A"/>
    <w:rsid w:val="006F21A3"/>
    <w:rsid w:val="00705422"/>
    <w:rsid w:val="00777CBC"/>
    <w:rsid w:val="007D5F6F"/>
    <w:rsid w:val="00831D12"/>
    <w:rsid w:val="00835F35"/>
    <w:rsid w:val="00873DF0"/>
    <w:rsid w:val="008756E6"/>
    <w:rsid w:val="008A08B6"/>
    <w:rsid w:val="009037B8"/>
    <w:rsid w:val="009B2D44"/>
    <w:rsid w:val="00A07E82"/>
    <w:rsid w:val="00A31CEF"/>
    <w:rsid w:val="00A84174"/>
    <w:rsid w:val="00A84C3C"/>
    <w:rsid w:val="00A9710C"/>
    <w:rsid w:val="00AA366E"/>
    <w:rsid w:val="00AE3E37"/>
    <w:rsid w:val="00B131B8"/>
    <w:rsid w:val="00B20199"/>
    <w:rsid w:val="00B21A57"/>
    <w:rsid w:val="00B30029"/>
    <w:rsid w:val="00B572D1"/>
    <w:rsid w:val="00BF22B4"/>
    <w:rsid w:val="00C33602"/>
    <w:rsid w:val="00CD6F55"/>
    <w:rsid w:val="00D37A32"/>
    <w:rsid w:val="00D543F5"/>
    <w:rsid w:val="00DE3104"/>
    <w:rsid w:val="00E26B10"/>
    <w:rsid w:val="00E96D25"/>
    <w:rsid w:val="00F72EEA"/>
    <w:rsid w:val="00F84CAE"/>
    <w:rsid w:val="00F90EC0"/>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anikandan031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2</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2018-10-23T16:42:00Z</dcterms:created>
  <dcterms:modified xsi:type="dcterms:W3CDTF">2018-10-24T12:01:00Z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