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A58" w:rsidRDefault="00DD0A58" w:rsidP="00DD0A58">
      <w:pPr>
        <w:pStyle w:val="1"/>
        <w:spacing w:before="170"/>
        <w:ind w:left="0"/>
        <w:rPr>
          <w:color w:val="337AB7"/>
        </w:rPr>
      </w:pPr>
      <w:r w:rsidRPr="00DD0A58">
        <w:rPr>
          <w:color w:val="337AB7"/>
        </w:rPr>
        <w:t>The Expanding World of SUMO: from Epigenetics to Adaptive Mechanisms and Cellular Aging</w:t>
      </w:r>
    </w:p>
    <w:p w:rsidR="00DD0A58" w:rsidRDefault="00DD0A58" w:rsidP="00DD0A58">
      <w:pPr>
        <w:outlineLvl w:val="0"/>
        <w:rPr>
          <w:rFonts w:ascii="Times New Roman" w:hAnsi="Times New Roman" w:cs="Times New Roman"/>
          <w:b/>
          <w:bCs/>
          <w:u w:val="single"/>
        </w:rPr>
      </w:pPr>
    </w:p>
    <w:p w:rsidR="00DD0A58" w:rsidRDefault="00DD0A58" w:rsidP="00DD0A58">
      <w:pPr>
        <w:outlineLvl w:val="0"/>
        <w:rPr>
          <w:rFonts w:ascii="Times New Roman" w:eastAsiaTheme="minorEastAsia" w:hAnsi="Times New Roman" w:cs="Times New Roman"/>
          <w:b/>
          <w:u w:val="single"/>
        </w:rPr>
      </w:pPr>
      <w:r>
        <w:rPr>
          <w:rFonts w:ascii="Times New Roman" w:hAnsi="Times New Roman" w:cs="Times New Roman"/>
          <w:b/>
          <w:bCs/>
          <w:u w:val="single"/>
        </w:rPr>
        <w:t>Hong-Yeoul Ryu</w:t>
      </w:r>
      <w:r>
        <w:rPr>
          <w:rFonts w:ascii="Times New Roman" w:hAnsi="Times New Roman" w:cs="Times New Roman"/>
          <w:vertAlign w:val="superscript"/>
        </w:rPr>
        <w:t>1,</w:t>
      </w:r>
      <w:r>
        <w:rPr>
          <w:rFonts w:ascii="Times New Roman" w:hAnsi="Times New Roman" w:cs="Times New Roman"/>
        </w:rPr>
        <w:t>*</w:t>
      </w:r>
    </w:p>
    <w:p w:rsidR="00DD0A58" w:rsidRDefault="00DD0A58" w:rsidP="00DD0A58">
      <w:pPr>
        <w:rPr>
          <w:rFonts w:ascii="Times New Roman" w:hAnsi="Times New Roman" w:cs="Times New Roman"/>
          <w:i/>
        </w:rPr>
      </w:pPr>
      <w:r>
        <w:rPr>
          <w:rFonts w:ascii="Times New Roman" w:hAnsi="Times New Roman" w:cs="Times New Roman"/>
          <w:i/>
          <w:vertAlign w:val="superscript"/>
        </w:rPr>
        <w:t>1</w:t>
      </w:r>
      <w:r>
        <w:rPr>
          <w:rFonts w:ascii="Times New Roman" w:hAnsi="Times New Roman" w:cs="Times New Roman"/>
          <w:i/>
          <w:iCs/>
        </w:rPr>
        <w:t>School of Life Sciences, College of National Sciences, Kyungpook National University, Daegu 41566, Republic of Korea</w:t>
      </w:r>
      <w:r>
        <w:rPr>
          <w:rFonts w:ascii="Times New Roman" w:hAnsi="Times New Roman" w:cs="Times New Roman"/>
          <w:i/>
        </w:rPr>
        <w:t>. *Correspondence</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DD0A58" w:rsidP="00DD0A58">
      <w:pPr>
        <w:pStyle w:val="3"/>
        <w:spacing w:before="74"/>
        <w:jc w:val="both"/>
      </w:pPr>
      <w:r w:rsidRPr="00DD0A58">
        <w:rPr>
          <w:b w:val="0"/>
          <w:sz w:val="18"/>
          <w:szCs w:val="18"/>
        </w:rPr>
        <w:t>Environmental changes induce many acute and long-term adaptive cellular responses. Mammals have diverse adaptive mechanisms for stress resistance, such as immune responses to pathogens or hormone-mediated homeostatic processes. At the cellular level, acute changes in the local microenvironment, such as changes of pH or temperature, oxidative stress, or nutrient limitation, may induce programmed cell death or trigger adaptive changes that include gene mutation, aneuploidy, changes in gene expression or epigenetic alterations. The small ubiquitin-like modifier (SUMO) protein is a conserved post-translational modifier that regulates a host of proteins in eukaryotic cells and maintains cell homeostasis when the cell encounters endogenous or environmental stress, such as osmotic stress, hypoxia, heat shock, genotoxic stress, and nutrient stress. In response to acute loss of the Ulp2 SUMO-specific protease, yeast become disomic for chromosome I (ChrI) and ChrXII. Here we report that ChrI disomy, which creates an adaptive advantage in part by increasing the dosage of the Ccr4 deadenylase, was eliminated by extended passaging. Loss of aneuploidy is often accompanied by mutations in essential SUMO-ligating enzymes, which reduced polySUMO-conjugate accumulation. The mRNA levels for almost all ribosomal proteins increase transiently upon initial loss of Ulp2, but elevated Ccr4 levels limit excess ribosome formation. Notably, extended passaging leads to increased levels of many small nucleolar RNAs (snoRNAs) involved in ribosome biogenesis, and higher dosage of three linked ChrXII snoRNA genes suppressed ChrXII disomy in </w:t>
      </w:r>
      <w:r w:rsidRPr="00DD0A58">
        <w:rPr>
          <w:b w:val="0"/>
          <w:i/>
          <w:iCs/>
          <w:sz w:val="18"/>
          <w:szCs w:val="18"/>
        </w:rPr>
        <w:t>ulp2Δ</w:t>
      </w:r>
      <w:r w:rsidRPr="00DD0A58">
        <w:rPr>
          <w:b w:val="0"/>
          <w:sz w:val="18"/>
          <w:szCs w:val="18"/>
        </w:rPr>
        <w:t> cells. Our data reveal that aneuploidy allows rapid adaptation to Ulp2 loss, but long-term adaptation restores euploidy. Cellular evolution restores homeostasis through countervailing mutations in SUMO-modification pathways and regulatory shifts in ribosome biogenesis.</w:t>
      </w:r>
      <w:r w:rsidR="00A9710C">
        <w:rPr>
          <w:b w:val="0"/>
        </w:rPr>
        <w:br w:type="column"/>
      </w:r>
      <w:r w:rsidR="00A9710C">
        <w:rPr>
          <w:color w:val="BF5A14"/>
        </w:rPr>
        <w:t>Image</w:t>
      </w:r>
    </w:p>
    <w:p w:rsidR="00AE3E37" w:rsidRDefault="00DD0A58">
      <w:pPr>
        <w:pStyle w:val="a3"/>
        <w:spacing w:before="2"/>
        <w:rPr>
          <w:rFonts w:ascii="Arial"/>
          <w:b/>
          <w:sz w:val="16"/>
        </w:rPr>
      </w:pPr>
      <w:r>
        <w:rPr>
          <w:rFonts w:ascii="Arial"/>
          <w:b/>
          <w:noProof/>
          <w:sz w:val="16"/>
          <w:lang w:eastAsia="ko-KR"/>
        </w:rPr>
        <w:drawing>
          <wp:inline distT="0" distB="0" distL="0" distR="0">
            <wp:extent cx="3471411" cy="1952625"/>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슬라이드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5068" cy="196593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163C7" w:rsidRDefault="002163C7" w:rsidP="002163C7">
      <w:pPr>
        <w:pStyle w:val="3"/>
        <w:numPr>
          <w:ilvl w:val="0"/>
          <w:numId w:val="5"/>
        </w:numPr>
        <w:spacing w:before="74"/>
        <w:jc w:val="both"/>
        <w:rPr>
          <w:b w:val="0"/>
          <w:sz w:val="18"/>
          <w:szCs w:val="18"/>
        </w:rPr>
      </w:pPr>
      <w:r w:rsidRPr="002163C7">
        <w:rPr>
          <w:b w:val="0"/>
          <w:sz w:val="18"/>
          <w:szCs w:val="18"/>
        </w:rPr>
        <w:t xml:space="preserve">Ryu, </w:t>
      </w:r>
      <w:r>
        <w:rPr>
          <w:rFonts w:asciiTheme="minorEastAsia" w:eastAsiaTheme="minorEastAsia" w:hAnsiTheme="minorEastAsia" w:hint="eastAsia"/>
          <w:b w:val="0"/>
          <w:sz w:val="18"/>
          <w:szCs w:val="18"/>
          <w:lang w:eastAsia="ko-KR"/>
        </w:rPr>
        <w:t>et</w:t>
      </w:r>
      <w:r>
        <w:rPr>
          <w:rFonts w:asciiTheme="minorEastAsia" w:eastAsiaTheme="minorEastAsia" w:hAnsiTheme="minorEastAsia"/>
          <w:b w:val="0"/>
          <w:sz w:val="18"/>
          <w:szCs w:val="18"/>
          <w:lang w:eastAsia="ko-KR"/>
        </w:rPr>
        <w:t xml:space="preserve"> </w:t>
      </w:r>
      <w:r>
        <w:rPr>
          <w:rFonts w:asciiTheme="minorEastAsia" w:eastAsiaTheme="minorEastAsia" w:hAnsiTheme="minorEastAsia" w:hint="eastAsia"/>
          <w:b w:val="0"/>
          <w:sz w:val="18"/>
          <w:szCs w:val="18"/>
          <w:lang w:eastAsia="ko-KR"/>
        </w:rPr>
        <w:t>al</w:t>
      </w:r>
      <w:r w:rsidRPr="002163C7">
        <w:rPr>
          <w:b w:val="0"/>
          <w:sz w:val="18"/>
          <w:szCs w:val="18"/>
        </w:rPr>
        <w:t xml:space="preserve">. (2020). SUMO and cellular adaptive mechanisms. Experimental &amp; Molecular Medicine </w:t>
      </w:r>
      <w:r w:rsidRPr="002163C7">
        <w:rPr>
          <w:rFonts w:hint="eastAsia"/>
          <w:b w:val="0"/>
          <w:sz w:val="18"/>
          <w:szCs w:val="18"/>
        </w:rPr>
        <w:t>52,</w:t>
      </w:r>
      <w:r w:rsidRPr="002163C7">
        <w:rPr>
          <w:b w:val="0"/>
          <w:sz w:val="18"/>
          <w:szCs w:val="18"/>
        </w:rPr>
        <w:t xml:space="preserve"> </w:t>
      </w:r>
      <w:r w:rsidRPr="002163C7">
        <w:rPr>
          <w:rFonts w:hint="eastAsia"/>
          <w:b w:val="0"/>
          <w:sz w:val="18"/>
          <w:szCs w:val="18"/>
        </w:rPr>
        <w:t>931-939</w:t>
      </w:r>
      <w:r w:rsidRPr="002163C7">
        <w:rPr>
          <w:b w:val="0"/>
          <w:sz w:val="18"/>
          <w:szCs w:val="18"/>
        </w:rPr>
        <w:t xml:space="preserve"> </w:t>
      </w:r>
    </w:p>
    <w:p w:rsidR="002163C7" w:rsidRPr="002163C7" w:rsidRDefault="002163C7" w:rsidP="002163C7">
      <w:pPr>
        <w:pStyle w:val="3"/>
        <w:numPr>
          <w:ilvl w:val="0"/>
          <w:numId w:val="5"/>
        </w:numPr>
        <w:spacing w:before="74"/>
        <w:jc w:val="both"/>
        <w:rPr>
          <w:b w:val="0"/>
          <w:sz w:val="18"/>
          <w:szCs w:val="18"/>
        </w:rPr>
      </w:pPr>
      <w:r w:rsidRPr="002163C7">
        <w:rPr>
          <w:b w:val="0"/>
          <w:sz w:val="18"/>
          <w:szCs w:val="18"/>
        </w:rPr>
        <w:t xml:space="preserve">Ryu, </w:t>
      </w:r>
      <w:r>
        <w:rPr>
          <w:rFonts w:asciiTheme="minorEastAsia" w:eastAsiaTheme="minorEastAsia" w:hAnsiTheme="minorEastAsia" w:hint="eastAsia"/>
          <w:b w:val="0"/>
          <w:sz w:val="18"/>
          <w:szCs w:val="18"/>
          <w:lang w:eastAsia="ko-KR"/>
        </w:rPr>
        <w:t>et</w:t>
      </w:r>
      <w:r>
        <w:rPr>
          <w:b w:val="0"/>
          <w:sz w:val="18"/>
          <w:szCs w:val="18"/>
        </w:rPr>
        <w:t xml:space="preserve"> </w:t>
      </w:r>
      <w:r>
        <w:rPr>
          <w:rFonts w:asciiTheme="minorEastAsia" w:eastAsiaTheme="minorEastAsia" w:hAnsiTheme="minorEastAsia" w:hint="eastAsia"/>
          <w:b w:val="0"/>
          <w:sz w:val="18"/>
          <w:szCs w:val="18"/>
          <w:lang w:eastAsia="ko-KR"/>
        </w:rPr>
        <w:t>al</w:t>
      </w:r>
      <w:r w:rsidRPr="002163C7">
        <w:rPr>
          <w:b w:val="0"/>
          <w:sz w:val="18"/>
          <w:szCs w:val="18"/>
        </w:rPr>
        <w:t xml:space="preserve">. (2019). The Ulp2 SUMO Protease Promotes Transcription Elongation through Regulation of Histone Sumoylation. EMBO journal 38, e102003. </w:t>
      </w:r>
    </w:p>
    <w:p w:rsidR="002163C7" w:rsidRPr="002163C7" w:rsidRDefault="002163C7" w:rsidP="002163C7">
      <w:pPr>
        <w:pStyle w:val="3"/>
        <w:numPr>
          <w:ilvl w:val="0"/>
          <w:numId w:val="5"/>
        </w:numPr>
        <w:spacing w:before="74"/>
        <w:jc w:val="both"/>
        <w:rPr>
          <w:b w:val="0"/>
          <w:sz w:val="18"/>
          <w:szCs w:val="18"/>
        </w:rPr>
      </w:pPr>
      <w:r w:rsidRPr="002163C7">
        <w:rPr>
          <w:b w:val="0"/>
          <w:sz w:val="18"/>
          <w:szCs w:val="18"/>
        </w:rPr>
        <w:fldChar w:fldCharType="begin"/>
      </w:r>
      <w:r w:rsidRPr="002163C7">
        <w:rPr>
          <w:b w:val="0"/>
          <w:sz w:val="18"/>
          <w:szCs w:val="18"/>
        </w:rPr>
        <w:instrText xml:space="preserve"> ADDIN EN.REFLIST </w:instrText>
      </w:r>
      <w:r w:rsidRPr="002163C7">
        <w:rPr>
          <w:b w:val="0"/>
          <w:sz w:val="18"/>
          <w:szCs w:val="18"/>
        </w:rPr>
        <w:fldChar w:fldCharType="separate"/>
      </w:r>
      <w:r w:rsidRPr="002163C7">
        <w:rPr>
          <w:b w:val="0"/>
          <w:sz w:val="18"/>
          <w:szCs w:val="18"/>
        </w:rPr>
        <w:t>Ryu,</w:t>
      </w:r>
      <w:r>
        <w:rPr>
          <w:b w:val="0"/>
          <w:sz w:val="18"/>
          <w:szCs w:val="18"/>
        </w:rPr>
        <w:t xml:space="preserve"> </w:t>
      </w:r>
      <w:r>
        <w:rPr>
          <w:rFonts w:asciiTheme="minorEastAsia" w:eastAsiaTheme="minorEastAsia" w:hAnsiTheme="minorEastAsia" w:hint="eastAsia"/>
          <w:b w:val="0"/>
          <w:sz w:val="18"/>
          <w:szCs w:val="18"/>
          <w:lang w:eastAsia="ko-KR"/>
        </w:rPr>
        <w:t>et</w:t>
      </w:r>
      <w:r>
        <w:rPr>
          <w:b w:val="0"/>
          <w:sz w:val="18"/>
          <w:szCs w:val="18"/>
        </w:rPr>
        <w:t xml:space="preserve"> </w:t>
      </w:r>
      <w:r>
        <w:rPr>
          <w:rFonts w:asciiTheme="minorEastAsia" w:eastAsiaTheme="minorEastAsia" w:hAnsiTheme="minorEastAsia" w:hint="eastAsia"/>
          <w:b w:val="0"/>
          <w:sz w:val="18"/>
          <w:szCs w:val="18"/>
          <w:lang w:eastAsia="ko-KR"/>
        </w:rPr>
        <w:t>al</w:t>
      </w:r>
      <w:r w:rsidRPr="002163C7">
        <w:rPr>
          <w:b w:val="0"/>
          <w:sz w:val="18"/>
          <w:szCs w:val="18"/>
        </w:rPr>
        <w:t>. (2018). Distinct adaptive mechanisms drive recovery from aneuploidy caused by loss of the Ulp2 SUMO protease. Nature Communications 9, 5417.</w:t>
      </w:r>
    </w:p>
    <w:p w:rsidR="002163C7" w:rsidRDefault="002163C7" w:rsidP="002163C7">
      <w:pPr>
        <w:pStyle w:val="3"/>
        <w:numPr>
          <w:ilvl w:val="0"/>
          <w:numId w:val="5"/>
        </w:numPr>
        <w:spacing w:before="74"/>
        <w:jc w:val="both"/>
        <w:rPr>
          <w:b w:val="0"/>
          <w:sz w:val="18"/>
          <w:szCs w:val="18"/>
        </w:rPr>
      </w:pPr>
      <w:r w:rsidRPr="002163C7">
        <w:rPr>
          <w:b w:val="0"/>
          <w:sz w:val="18"/>
          <w:szCs w:val="18"/>
        </w:rPr>
        <w:fldChar w:fldCharType="end"/>
      </w:r>
      <w:r w:rsidRPr="002163C7">
        <w:rPr>
          <w:b w:val="0"/>
          <w:sz w:val="18"/>
          <w:szCs w:val="18"/>
        </w:rPr>
        <w:t xml:space="preserve">Ryu, </w:t>
      </w:r>
      <w:r>
        <w:rPr>
          <w:rFonts w:asciiTheme="minorEastAsia" w:eastAsiaTheme="minorEastAsia" w:hAnsiTheme="minorEastAsia" w:hint="eastAsia"/>
          <w:b w:val="0"/>
          <w:sz w:val="18"/>
          <w:szCs w:val="18"/>
          <w:lang w:eastAsia="ko-KR"/>
        </w:rPr>
        <w:t>et</w:t>
      </w:r>
      <w:r>
        <w:rPr>
          <w:b w:val="0"/>
          <w:sz w:val="18"/>
          <w:szCs w:val="18"/>
        </w:rPr>
        <w:t xml:space="preserve"> </w:t>
      </w:r>
      <w:r>
        <w:rPr>
          <w:rFonts w:asciiTheme="minorEastAsia" w:eastAsiaTheme="minorEastAsia" w:hAnsiTheme="minorEastAsia" w:hint="eastAsia"/>
          <w:b w:val="0"/>
          <w:sz w:val="18"/>
          <w:szCs w:val="18"/>
          <w:lang w:eastAsia="ko-KR"/>
        </w:rPr>
        <w:t>al</w:t>
      </w:r>
      <w:r w:rsidRPr="002163C7">
        <w:rPr>
          <w:b w:val="0"/>
          <w:sz w:val="18"/>
          <w:szCs w:val="18"/>
        </w:rPr>
        <w:t>. (2016). Loss of the SUMO protease Ulp2 triggers a specific multichromosome aneuploidy. Genes &amp; Development 30, 1881-1894.</w:t>
      </w:r>
    </w:p>
    <w:p w:rsidR="002163C7" w:rsidRPr="00900AD3" w:rsidRDefault="002163C7" w:rsidP="002163C7">
      <w:pPr>
        <w:pStyle w:val="3"/>
        <w:numPr>
          <w:ilvl w:val="0"/>
          <w:numId w:val="5"/>
        </w:numPr>
        <w:spacing w:before="74"/>
        <w:jc w:val="both"/>
        <w:rPr>
          <w:b w:val="0"/>
          <w:spacing w:val="-4"/>
          <w:sz w:val="18"/>
          <w:szCs w:val="18"/>
        </w:rPr>
      </w:pPr>
      <w:r w:rsidRPr="00900AD3">
        <w:rPr>
          <w:b w:val="0"/>
          <w:spacing w:val="-4"/>
          <w:sz w:val="18"/>
          <w:szCs w:val="18"/>
        </w:rPr>
        <w:t xml:space="preserve">Ryu, </w:t>
      </w:r>
      <w:r w:rsidRPr="00900AD3">
        <w:rPr>
          <w:rFonts w:asciiTheme="minorEastAsia" w:eastAsiaTheme="minorEastAsia" w:hAnsiTheme="minorEastAsia" w:hint="eastAsia"/>
          <w:b w:val="0"/>
          <w:spacing w:val="-4"/>
          <w:sz w:val="18"/>
          <w:szCs w:val="18"/>
          <w:lang w:eastAsia="ko-KR"/>
        </w:rPr>
        <w:t>et</w:t>
      </w:r>
      <w:r w:rsidRPr="00900AD3">
        <w:rPr>
          <w:b w:val="0"/>
          <w:spacing w:val="-4"/>
          <w:sz w:val="18"/>
          <w:szCs w:val="18"/>
        </w:rPr>
        <w:t xml:space="preserve"> </w:t>
      </w:r>
      <w:r w:rsidRPr="00900AD3">
        <w:rPr>
          <w:rFonts w:asciiTheme="minorEastAsia" w:eastAsiaTheme="minorEastAsia" w:hAnsiTheme="minorEastAsia" w:hint="eastAsia"/>
          <w:b w:val="0"/>
          <w:spacing w:val="-4"/>
          <w:sz w:val="18"/>
          <w:szCs w:val="18"/>
          <w:lang w:eastAsia="ko-KR"/>
        </w:rPr>
        <w:t>al</w:t>
      </w:r>
      <w:r w:rsidRPr="00900AD3">
        <w:rPr>
          <w:b w:val="0"/>
          <w:spacing w:val="-4"/>
          <w:sz w:val="18"/>
          <w:szCs w:val="18"/>
        </w:rPr>
        <w:t>. (2014). Yeast histone H3 lysine 4 demethylase Jhd2 regulates mitotic rDNA condensation. BMC Biology 12, 75.</w:t>
      </w:r>
    </w:p>
    <w:p w:rsidR="002163C7" w:rsidRPr="002163C7" w:rsidRDefault="002163C7" w:rsidP="002163C7">
      <w:pPr>
        <w:pStyle w:val="3"/>
        <w:spacing w:before="74"/>
        <w:ind w:left="460"/>
        <w:jc w:val="both"/>
        <w:rPr>
          <w:b w:val="0"/>
          <w:sz w:val="18"/>
          <w:szCs w:val="18"/>
        </w:rPr>
        <w:sectPr w:rsidR="002163C7" w:rsidRPr="002163C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F39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42830">
        <w:rPr>
          <w:noProof/>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84pt">
            <v:imagedata r:id="rId10" o:title="Ryu hong yeol 3X4CM"/>
          </v:shape>
        </w:pict>
      </w:r>
      <w:r w:rsidR="00A9710C">
        <w:rPr>
          <w:rFonts w:ascii="Arial"/>
          <w:color w:val="BF5A14"/>
        </w:rPr>
        <w:t>Biography</w:t>
      </w:r>
      <w:r w:rsidR="00404E5B">
        <w:rPr>
          <w:rFonts w:ascii="Arial"/>
          <w:color w:val="BF5A14"/>
        </w:rPr>
        <w:t xml:space="preserve"> (150 word limit)</w:t>
      </w:r>
    </w:p>
    <w:p w:rsidR="00A42830" w:rsidRPr="00A42830" w:rsidRDefault="00A42830" w:rsidP="00A42830">
      <w:pPr>
        <w:spacing w:before="41" w:line="154" w:lineRule="exact"/>
        <w:ind w:left="213" w:right="231"/>
        <w:jc w:val="both"/>
        <w:rPr>
          <w:rFonts w:ascii="Arial"/>
          <w:sz w:val="14"/>
        </w:rPr>
      </w:pPr>
      <w:r w:rsidRPr="00A42830">
        <w:rPr>
          <w:rFonts w:ascii="Arial" w:hint="eastAsia"/>
          <w:sz w:val="14"/>
        </w:rPr>
        <w:t>Hong-Yeoul</w:t>
      </w:r>
      <w:r w:rsidRPr="00A42830">
        <w:rPr>
          <w:rFonts w:ascii="Arial"/>
          <w:sz w:val="14"/>
        </w:rPr>
        <w:t xml:space="preserve"> Ryu is a </w:t>
      </w:r>
      <w:r w:rsidRPr="00A42830">
        <w:rPr>
          <w:rFonts w:ascii="Arial" w:hint="eastAsia"/>
          <w:sz w:val="14"/>
        </w:rPr>
        <w:t>p</w:t>
      </w:r>
      <w:r w:rsidRPr="00A42830">
        <w:rPr>
          <w:rFonts w:ascii="Arial"/>
          <w:sz w:val="14"/>
        </w:rPr>
        <w:t xml:space="preserve">rofessor of School of Life Sciences at Kyungpook National University. He studied biochemistry and obtained his Ph.D. from Hanyang University (2015), and his dissertation was on Regulation of Heterochromatic Silencing by JmjC-domain Containing Histone Demethylases. As a postdocoral fellow in the laboratory of Mark Hochstrasser at Yale University (USA), he studied the role of </w:t>
      </w:r>
      <w:r w:rsidRPr="00A42830">
        <w:rPr>
          <w:rFonts w:ascii="Arial" w:hint="eastAsia"/>
          <w:sz w:val="14"/>
        </w:rPr>
        <w:t>ubiquitin</w:t>
      </w:r>
      <w:r w:rsidRPr="00A42830">
        <w:rPr>
          <w:rFonts w:ascii="Arial"/>
          <w:sz w:val="14"/>
        </w:rPr>
        <w:t xml:space="preserve"> </w:t>
      </w:r>
      <w:r w:rsidRPr="00A42830">
        <w:rPr>
          <w:rFonts w:ascii="Arial" w:hint="eastAsia"/>
          <w:sz w:val="14"/>
        </w:rPr>
        <w:t>and</w:t>
      </w:r>
      <w:r w:rsidRPr="00A42830">
        <w:rPr>
          <w:rFonts w:ascii="Arial"/>
          <w:sz w:val="14"/>
        </w:rPr>
        <w:t xml:space="preserve"> SUMO</w:t>
      </w:r>
      <w:r w:rsidRPr="00A42830">
        <w:rPr>
          <w:rFonts w:ascii="Arial" w:hint="eastAsia"/>
          <w:sz w:val="14"/>
        </w:rPr>
        <w:t xml:space="preserve"> (</w:t>
      </w:r>
      <w:r w:rsidRPr="00A42830">
        <w:rPr>
          <w:rFonts w:ascii="Arial"/>
          <w:sz w:val="14"/>
        </w:rPr>
        <w:t>small ubiquitin-like modifier</w:t>
      </w:r>
      <w:r w:rsidRPr="00A42830">
        <w:rPr>
          <w:rFonts w:ascii="Arial" w:hint="eastAsia"/>
          <w:sz w:val="14"/>
        </w:rPr>
        <w:t>)</w:t>
      </w:r>
      <w:r w:rsidRPr="00A42830">
        <w:rPr>
          <w:rFonts w:ascii="Arial"/>
          <w:sz w:val="14"/>
        </w:rPr>
        <w:t xml:space="preserve"> system</w:t>
      </w:r>
      <w:r w:rsidRPr="00A42830">
        <w:rPr>
          <w:rFonts w:ascii="Arial" w:hint="eastAsia"/>
          <w:sz w:val="14"/>
        </w:rPr>
        <w:t>s</w:t>
      </w:r>
      <w:r w:rsidRPr="00A42830">
        <w:rPr>
          <w:rFonts w:ascii="Arial"/>
          <w:sz w:val="14"/>
        </w:rPr>
        <w:t xml:space="preserve"> in transcription and adaptive mechanisms to cellular stress. </w:t>
      </w:r>
      <w:r w:rsidRPr="00A42830">
        <w:rPr>
          <w:rFonts w:ascii="Arial" w:hint="eastAsia"/>
          <w:sz w:val="14"/>
        </w:rPr>
        <w:t>Since</w:t>
      </w:r>
      <w:r w:rsidRPr="00A42830">
        <w:rPr>
          <w:rFonts w:ascii="Arial"/>
          <w:sz w:val="14"/>
        </w:rPr>
        <w:t xml:space="preserve"> </w:t>
      </w:r>
      <w:r w:rsidRPr="00A42830">
        <w:rPr>
          <w:rFonts w:ascii="Arial" w:hint="eastAsia"/>
          <w:sz w:val="14"/>
        </w:rPr>
        <w:t>2020,</w:t>
      </w:r>
      <w:r w:rsidRPr="00A42830">
        <w:rPr>
          <w:rFonts w:ascii="Arial"/>
          <w:sz w:val="14"/>
        </w:rPr>
        <w:t xml:space="preserve"> </w:t>
      </w:r>
      <w:r w:rsidRPr="00A42830">
        <w:rPr>
          <w:rFonts w:ascii="Arial" w:hint="eastAsia"/>
          <w:sz w:val="14"/>
        </w:rPr>
        <w:t>he</w:t>
      </w:r>
      <w:r w:rsidRPr="00A42830">
        <w:rPr>
          <w:rFonts w:ascii="Arial"/>
          <w:sz w:val="14"/>
        </w:rPr>
        <w:t xml:space="preserve"> </w:t>
      </w:r>
      <w:r w:rsidRPr="00A42830">
        <w:rPr>
          <w:rFonts w:ascii="Arial" w:hint="eastAsia"/>
          <w:sz w:val="14"/>
        </w:rPr>
        <w:t>has</w:t>
      </w:r>
      <w:r w:rsidRPr="00A42830">
        <w:rPr>
          <w:rFonts w:ascii="Arial"/>
          <w:sz w:val="14"/>
        </w:rPr>
        <w:t xml:space="preserve"> </w:t>
      </w:r>
      <w:r w:rsidRPr="00A42830">
        <w:rPr>
          <w:rFonts w:ascii="Arial" w:hint="eastAsia"/>
          <w:sz w:val="14"/>
        </w:rPr>
        <w:t>worked</w:t>
      </w:r>
      <w:r w:rsidRPr="00A42830">
        <w:rPr>
          <w:rFonts w:ascii="Arial"/>
          <w:sz w:val="14"/>
        </w:rPr>
        <w:t xml:space="preserve"> </w:t>
      </w:r>
      <w:r w:rsidRPr="00A42830">
        <w:rPr>
          <w:rFonts w:ascii="Arial" w:hint="eastAsia"/>
          <w:sz w:val="14"/>
        </w:rPr>
        <w:t>as</w:t>
      </w:r>
      <w:r w:rsidRPr="00A42830">
        <w:rPr>
          <w:rFonts w:ascii="Arial"/>
          <w:sz w:val="14"/>
        </w:rPr>
        <w:t xml:space="preserve"> </w:t>
      </w:r>
      <w:r w:rsidRPr="00A42830">
        <w:rPr>
          <w:rFonts w:ascii="Arial" w:hint="eastAsia"/>
          <w:sz w:val="14"/>
        </w:rPr>
        <w:t>a</w:t>
      </w:r>
      <w:r w:rsidRPr="00A42830">
        <w:rPr>
          <w:rFonts w:ascii="Arial"/>
          <w:sz w:val="14"/>
        </w:rPr>
        <w:t xml:space="preserve"> </w:t>
      </w:r>
      <w:r w:rsidRPr="00A42830">
        <w:rPr>
          <w:rFonts w:ascii="Arial" w:hint="eastAsia"/>
          <w:sz w:val="14"/>
        </w:rPr>
        <w:t>professor</w:t>
      </w:r>
      <w:r w:rsidRPr="00A42830">
        <w:rPr>
          <w:rFonts w:ascii="Arial"/>
          <w:sz w:val="14"/>
        </w:rPr>
        <w:t xml:space="preserve"> </w:t>
      </w:r>
      <w:r w:rsidRPr="00A42830">
        <w:rPr>
          <w:rFonts w:ascii="Arial" w:hint="eastAsia"/>
          <w:sz w:val="14"/>
        </w:rPr>
        <w:t>at</w:t>
      </w:r>
      <w:r w:rsidRPr="00A42830">
        <w:rPr>
          <w:rFonts w:ascii="Arial"/>
          <w:sz w:val="14"/>
        </w:rPr>
        <w:t xml:space="preserve"> Kyungpook National University</w:t>
      </w:r>
      <w:r w:rsidRPr="00A42830">
        <w:rPr>
          <w:rFonts w:ascii="Arial" w:hint="eastAsia"/>
          <w:sz w:val="14"/>
        </w:rPr>
        <w:t>,</w:t>
      </w:r>
      <w:r w:rsidRPr="00A42830">
        <w:rPr>
          <w:rFonts w:ascii="Arial"/>
          <w:sz w:val="14"/>
        </w:rPr>
        <w:t xml:space="preserve"> </w:t>
      </w:r>
      <w:r w:rsidRPr="00A42830">
        <w:rPr>
          <w:rFonts w:ascii="Arial" w:hint="eastAsia"/>
          <w:sz w:val="14"/>
        </w:rPr>
        <w:t>South</w:t>
      </w:r>
      <w:r w:rsidRPr="00A42830">
        <w:rPr>
          <w:rFonts w:ascii="Arial"/>
          <w:sz w:val="14"/>
        </w:rPr>
        <w:t xml:space="preserve"> </w:t>
      </w:r>
      <w:r w:rsidRPr="00A42830">
        <w:rPr>
          <w:rFonts w:ascii="Arial" w:hint="eastAsia"/>
          <w:sz w:val="14"/>
        </w:rPr>
        <w:t>Korea.</w:t>
      </w:r>
      <w:r w:rsidRPr="00A42830">
        <w:rPr>
          <w:rFonts w:ascii="Arial"/>
          <w:sz w:val="14"/>
        </w:rPr>
        <w:t xml:space="preserve"> </w:t>
      </w:r>
      <w:r w:rsidRPr="00A42830">
        <w:rPr>
          <w:rFonts w:ascii="Arial" w:hint="eastAsia"/>
          <w:sz w:val="14"/>
        </w:rPr>
        <w:t>The</w:t>
      </w:r>
      <w:r w:rsidRPr="00A42830">
        <w:rPr>
          <w:rFonts w:ascii="Arial"/>
          <w:sz w:val="14"/>
        </w:rPr>
        <w:t xml:space="preserve"> </w:t>
      </w:r>
      <w:r w:rsidRPr="00A42830">
        <w:rPr>
          <w:rFonts w:ascii="Arial" w:hint="eastAsia"/>
          <w:sz w:val="14"/>
        </w:rPr>
        <w:t>major</w:t>
      </w:r>
      <w:r w:rsidRPr="00A42830">
        <w:rPr>
          <w:rFonts w:ascii="Arial"/>
          <w:sz w:val="14"/>
        </w:rPr>
        <w:t xml:space="preserve"> </w:t>
      </w:r>
      <w:r w:rsidRPr="00A42830">
        <w:rPr>
          <w:rFonts w:ascii="Arial" w:hint="eastAsia"/>
          <w:sz w:val="14"/>
        </w:rPr>
        <w:t>focus</w:t>
      </w:r>
      <w:r w:rsidRPr="00A42830">
        <w:rPr>
          <w:rFonts w:ascii="Arial"/>
          <w:sz w:val="14"/>
        </w:rPr>
        <w:t xml:space="preserve"> </w:t>
      </w:r>
      <w:r w:rsidRPr="00A42830">
        <w:rPr>
          <w:rFonts w:ascii="Arial" w:hint="eastAsia"/>
          <w:sz w:val="14"/>
        </w:rPr>
        <w:t>of</w:t>
      </w:r>
      <w:r w:rsidRPr="00A42830">
        <w:rPr>
          <w:rFonts w:ascii="Arial"/>
          <w:sz w:val="14"/>
        </w:rPr>
        <w:t xml:space="preserve"> </w:t>
      </w:r>
      <w:r w:rsidRPr="00A42830">
        <w:rPr>
          <w:rFonts w:ascii="Arial" w:hint="eastAsia"/>
          <w:sz w:val="14"/>
        </w:rPr>
        <w:t>his</w:t>
      </w:r>
      <w:r w:rsidRPr="00A42830">
        <w:rPr>
          <w:rFonts w:ascii="Arial"/>
          <w:sz w:val="14"/>
        </w:rPr>
        <w:t xml:space="preserve"> </w:t>
      </w:r>
      <w:r w:rsidRPr="00A42830">
        <w:rPr>
          <w:rFonts w:ascii="Arial" w:hint="eastAsia"/>
          <w:sz w:val="14"/>
        </w:rPr>
        <w:t>current</w:t>
      </w:r>
      <w:r w:rsidRPr="00A42830">
        <w:rPr>
          <w:rFonts w:ascii="Arial"/>
          <w:sz w:val="14"/>
        </w:rPr>
        <w:t xml:space="preserve"> </w:t>
      </w:r>
      <w:r w:rsidRPr="00A42830">
        <w:rPr>
          <w:rFonts w:ascii="Arial" w:hint="eastAsia"/>
          <w:sz w:val="14"/>
        </w:rPr>
        <w:t>research</w:t>
      </w:r>
      <w:r w:rsidRPr="00A42830">
        <w:rPr>
          <w:rFonts w:ascii="Arial"/>
          <w:sz w:val="14"/>
        </w:rPr>
        <w:t xml:space="preserve"> </w:t>
      </w:r>
      <w:r w:rsidRPr="00A42830">
        <w:rPr>
          <w:rFonts w:ascii="Arial" w:hint="eastAsia"/>
          <w:sz w:val="14"/>
        </w:rPr>
        <w:t>is</w:t>
      </w:r>
      <w:r w:rsidRPr="00A42830">
        <w:rPr>
          <w:rFonts w:ascii="Arial"/>
          <w:sz w:val="14"/>
        </w:rPr>
        <w:t xml:space="preserve"> to determine the role of SUMO in the field of epigenetics and cellular aging and to unravel the correlation between SUMO and adaptive mechanisms by applying the</w:t>
      </w:r>
      <w:r w:rsidRPr="00A42830">
        <w:rPr>
          <w:rFonts w:ascii="Arial" w:hint="eastAsia"/>
          <w:sz w:val="14"/>
        </w:rPr>
        <w:t> </w:t>
      </w:r>
      <w:r w:rsidRPr="00A42830">
        <w:rPr>
          <w:rFonts w:ascii="Arial"/>
          <w:sz w:val="14"/>
        </w:rPr>
        <w:t>in vitro</w:t>
      </w:r>
      <w:r w:rsidRPr="00A42830">
        <w:rPr>
          <w:rFonts w:ascii="Arial" w:hint="eastAsia"/>
          <w:sz w:val="14"/>
        </w:rPr>
        <w:t> </w:t>
      </w:r>
      <w:r w:rsidRPr="00A42830">
        <w:rPr>
          <w:rFonts w:ascii="Arial"/>
          <w:sz w:val="14"/>
        </w:rPr>
        <w:t>evolution technique.</w:t>
      </w:r>
    </w:p>
    <w:p w:rsidR="00AE3E37" w:rsidRDefault="00A9710C">
      <w:pPr>
        <w:spacing w:before="62"/>
        <w:ind w:left="4217" w:right="4235"/>
        <w:jc w:val="center"/>
        <w:rPr>
          <w:rFonts w:ascii="Arial"/>
          <w:sz w:val="14"/>
        </w:rPr>
      </w:pPr>
      <w:r>
        <w:rPr>
          <w:rFonts w:ascii="Arial"/>
          <w:sz w:val="14"/>
        </w:rPr>
        <w:t xml:space="preserve">Email: </w:t>
      </w:r>
      <w:hyperlink r:id="rId11" w:history="1">
        <w:r w:rsidR="00A42830" w:rsidRPr="00074173">
          <w:rPr>
            <w:rStyle w:val="a8"/>
            <w:rFonts w:ascii="Arial"/>
            <w:sz w:val="14"/>
          </w:rPr>
          <w:t>rhr4757@</w:t>
        </w:r>
        <w:r w:rsidR="00A42830" w:rsidRPr="00074173">
          <w:rPr>
            <w:rStyle w:val="a8"/>
            <w:rFonts w:asciiTheme="minorEastAsia" w:eastAsiaTheme="minorEastAsia" w:hAnsiTheme="minorEastAsia"/>
            <w:sz w:val="14"/>
            <w:lang w:eastAsia="ko-KR"/>
          </w:rPr>
          <w:t>knu.ac.kr</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909C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A42830" w:rsidRDefault="00A9710C" w:rsidP="00A42830">
      <w:pPr>
        <w:spacing w:before="39"/>
        <w:rPr>
          <w:rFonts w:ascii="Minion Pro"/>
          <w:b/>
          <w:sz w:val="20"/>
        </w:rPr>
        <w:sectPr w:rsidR="00AE3E37" w:rsidRPr="00A42830">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3B8" w:rsidRDefault="00CA23B8">
      <w:r>
        <w:separator/>
      </w:r>
    </w:p>
  </w:endnote>
  <w:endnote w:type="continuationSeparator" w:id="0">
    <w:p w:rsidR="00CA23B8" w:rsidRDefault="00CA2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3B8" w:rsidRDefault="00CA23B8">
      <w:r>
        <w:separator/>
      </w:r>
    </w:p>
  </w:footnote>
  <w:footnote w:type="continuationSeparator" w:id="0">
    <w:p w:rsidR="00CA23B8" w:rsidRDefault="00CA2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731C7"/>
    <w:multiLevelType w:val="hybridMultilevel"/>
    <w:tmpl w:val="168C599E"/>
    <w:lvl w:ilvl="0" w:tplc="8368CF52">
      <w:start w:val="1"/>
      <w:numFmt w:val="decimal"/>
      <w:lvlText w:val="%1."/>
      <w:lvlJc w:val="left"/>
      <w:pPr>
        <w:ind w:left="460" w:hanging="360"/>
      </w:pPr>
      <w:rPr>
        <w:rFonts w:asciiTheme="minorEastAsia" w:eastAsiaTheme="minorEastAsia" w:hAnsiTheme="minorEastAsia" w:hint="default"/>
      </w:rPr>
    </w:lvl>
    <w:lvl w:ilvl="1" w:tplc="04090019" w:tentative="1">
      <w:start w:val="1"/>
      <w:numFmt w:val="upperLetter"/>
      <w:lvlText w:val="%2."/>
      <w:lvlJc w:val="left"/>
      <w:pPr>
        <w:ind w:left="900" w:hanging="400"/>
      </w:pPr>
    </w:lvl>
    <w:lvl w:ilvl="2" w:tplc="0409001B" w:tentative="1">
      <w:start w:val="1"/>
      <w:numFmt w:val="lowerRoman"/>
      <w:lvlText w:val="%3."/>
      <w:lvlJc w:val="right"/>
      <w:pPr>
        <w:ind w:left="1300" w:hanging="400"/>
      </w:pPr>
    </w:lvl>
    <w:lvl w:ilvl="3" w:tplc="0409000F" w:tentative="1">
      <w:start w:val="1"/>
      <w:numFmt w:val="decimal"/>
      <w:lvlText w:val="%4."/>
      <w:lvlJc w:val="left"/>
      <w:pPr>
        <w:ind w:left="1700" w:hanging="400"/>
      </w:pPr>
    </w:lvl>
    <w:lvl w:ilvl="4" w:tplc="04090019" w:tentative="1">
      <w:start w:val="1"/>
      <w:numFmt w:val="upperLetter"/>
      <w:lvlText w:val="%5."/>
      <w:lvlJc w:val="left"/>
      <w:pPr>
        <w:ind w:left="2100" w:hanging="400"/>
      </w:pPr>
    </w:lvl>
    <w:lvl w:ilvl="5" w:tplc="0409001B" w:tentative="1">
      <w:start w:val="1"/>
      <w:numFmt w:val="lowerRoman"/>
      <w:lvlText w:val="%6."/>
      <w:lvlJc w:val="right"/>
      <w:pPr>
        <w:ind w:left="2500" w:hanging="400"/>
      </w:pPr>
    </w:lvl>
    <w:lvl w:ilvl="6" w:tplc="0409000F" w:tentative="1">
      <w:start w:val="1"/>
      <w:numFmt w:val="decimal"/>
      <w:lvlText w:val="%7."/>
      <w:lvlJc w:val="left"/>
      <w:pPr>
        <w:ind w:left="2900" w:hanging="400"/>
      </w:pPr>
    </w:lvl>
    <w:lvl w:ilvl="7" w:tplc="04090019" w:tentative="1">
      <w:start w:val="1"/>
      <w:numFmt w:val="upperLetter"/>
      <w:lvlText w:val="%8."/>
      <w:lvlJc w:val="left"/>
      <w:pPr>
        <w:ind w:left="3300" w:hanging="400"/>
      </w:pPr>
    </w:lvl>
    <w:lvl w:ilvl="8" w:tplc="0409001B" w:tentative="1">
      <w:start w:val="1"/>
      <w:numFmt w:val="lowerRoman"/>
      <w:lvlText w:val="%9."/>
      <w:lvlJc w:val="right"/>
      <w:pPr>
        <w:ind w:left="3700" w:hanging="40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AF60421"/>
    <w:multiLevelType w:val="multilevel"/>
    <w:tmpl w:val="9D6EF902"/>
    <w:lvl w:ilvl="0">
      <w:start w:val="4"/>
      <w:numFmt w:val="decimal"/>
      <w:lvlText w:val="%1."/>
      <w:lvlJc w:val="left"/>
      <w:pPr>
        <w:ind w:left="760" w:hanging="360"/>
      </w:pPr>
      <w:rPr>
        <w:rFonts w:hint="default"/>
        <w:b w:val="0"/>
      </w:rPr>
    </w:lvl>
    <w:lvl w:ilvl="1">
      <w:start w:val="1"/>
      <w:numFmt w:val="upperLetter"/>
      <w:lvlText w:val="%2."/>
      <w:lvlJc w:val="left"/>
      <w:pPr>
        <w:ind w:left="1200" w:hanging="400"/>
      </w:pPr>
      <w:rPr>
        <w:rFonts w:hint="eastAsia"/>
      </w:rPr>
    </w:lvl>
    <w:lvl w:ilvl="2">
      <w:start w:val="1"/>
      <w:numFmt w:val="lowerRoman"/>
      <w:lvlText w:val="%3."/>
      <w:lvlJc w:val="right"/>
      <w:pPr>
        <w:ind w:left="1600" w:hanging="400"/>
      </w:pPr>
      <w:rPr>
        <w:rFonts w:hint="eastAsia"/>
      </w:rPr>
    </w:lvl>
    <w:lvl w:ilvl="3">
      <w:start w:val="1"/>
      <w:numFmt w:val="decimal"/>
      <w:lvlText w:val="%4."/>
      <w:lvlJc w:val="left"/>
      <w:pPr>
        <w:ind w:left="2000" w:hanging="400"/>
      </w:pPr>
      <w:rPr>
        <w:rFonts w:hint="eastAsia"/>
      </w:rPr>
    </w:lvl>
    <w:lvl w:ilvl="4">
      <w:start w:val="1"/>
      <w:numFmt w:val="upperLetter"/>
      <w:lvlText w:val="%5."/>
      <w:lvlJc w:val="left"/>
      <w:pPr>
        <w:ind w:left="2400" w:hanging="400"/>
      </w:pPr>
      <w:rPr>
        <w:rFonts w:hint="eastAsia"/>
      </w:rPr>
    </w:lvl>
    <w:lvl w:ilvl="5">
      <w:start w:val="1"/>
      <w:numFmt w:val="lowerRoman"/>
      <w:lvlText w:val="%6."/>
      <w:lvlJc w:val="right"/>
      <w:pPr>
        <w:ind w:left="2800" w:hanging="400"/>
      </w:pPr>
      <w:rPr>
        <w:rFonts w:hint="eastAsia"/>
      </w:rPr>
    </w:lvl>
    <w:lvl w:ilvl="6">
      <w:start w:val="1"/>
      <w:numFmt w:val="decimal"/>
      <w:lvlText w:val="%7."/>
      <w:lvlJc w:val="left"/>
      <w:pPr>
        <w:ind w:left="3200" w:hanging="400"/>
      </w:pPr>
      <w:rPr>
        <w:rFonts w:hint="eastAsia"/>
      </w:rPr>
    </w:lvl>
    <w:lvl w:ilvl="7">
      <w:start w:val="1"/>
      <w:numFmt w:val="upperLetter"/>
      <w:lvlText w:val="%8."/>
      <w:lvlJc w:val="left"/>
      <w:pPr>
        <w:ind w:left="3600" w:hanging="400"/>
      </w:pPr>
      <w:rPr>
        <w:rFonts w:hint="eastAsia"/>
      </w:rPr>
    </w:lvl>
    <w:lvl w:ilvl="8">
      <w:start w:val="1"/>
      <w:numFmt w:val="lowerRoman"/>
      <w:lvlText w:val="%9."/>
      <w:lvlJc w:val="right"/>
      <w:pPr>
        <w:ind w:left="4000" w:hanging="400"/>
      </w:pPr>
      <w:rPr>
        <w:rFonts w:hint="eastAsia"/>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63C7"/>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00AD3"/>
    <w:rsid w:val="009B2D44"/>
    <w:rsid w:val="00A07E82"/>
    <w:rsid w:val="00A42830"/>
    <w:rsid w:val="00A9710C"/>
    <w:rsid w:val="00AE3E37"/>
    <w:rsid w:val="00B21A57"/>
    <w:rsid w:val="00C33602"/>
    <w:rsid w:val="00CA23B8"/>
    <w:rsid w:val="00CD6F55"/>
    <w:rsid w:val="00DD0A58"/>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CC6B2"/>
  <w15:docId w15:val="{D584A5F2-18F4-45EA-AEAB-3D944DAE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302545">
      <w:bodyDiv w:val="1"/>
      <w:marLeft w:val="0"/>
      <w:marRight w:val="0"/>
      <w:marTop w:val="0"/>
      <w:marBottom w:val="0"/>
      <w:divBdr>
        <w:top w:val="none" w:sz="0" w:space="0" w:color="auto"/>
        <w:left w:val="none" w:sz="0" w:space="0" w:color="auto"/>
        <w:bottom w:val="none" w:sz="0" w:space="0" w:color="auto"/>
        <w:right w:val="none" w:sz="0" w:space="0" w:color="auto"/>
      </w:divBdr>
    </w:div>
    <w:div w:id="5320368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4800748">
      <w:bodyDiv w:val="1"/>
      <w:marLeft w:val="0"/>
      <w:marRight w:val="0"/>
      <w:marTop w:val="0"/>
      <w:marBottom w:val="0"/>
      <w:divBdr>
        <w:top w:val="none" w:sz="0" w:space="0" w:color="auto"/>
        <w:left w:val="none" w:sz="0" w:space="0" w:color="auto"/>
        <w:bottom w:val="none" w:sz="0" w:space="0" w:color="auto"/>
        <w:right w:val="none" w:sz="0" w:space="0" w:color="auto"/>
      </w:divBdr>
    </w:div>
    <w:div w:id="143439645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hr4757@knu.ac.k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Rhu, Hong Yeol</cp:lastModifiedBy>
  <cp:revision>6</cp:revision>
  <dcterms:created xsi:type="dcterms:W3CDTF">2016-12-06T11:19:00Z</dcterms:created>
  <dcterms:modified xsi:type="dcterms:W3CDTF">2020-10-04T11:58:00Z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