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58B" w:rsidRPr="0092479A" w:rsidRDefault="0092479A">
      <w:pPr>
        <w:jc w:val="center"/>
        <w:rPr>
          <w:rFonts w:asciiTheme="minorHAnsi" w:hAnsiTheme="minorHAnsi" w:cstheme="minorHAnsi"/>
          <w:sz w:val="24"/>
          <w:szCs w:val="24"/>
        </w:rPr>
      </w:pPr>
      <w:bookmarkStart w:id="0" w:name="page1"/>
      <w:bookmarkEnd w:id="0"/>
      <w:r w:rsidRPr="0092479A">
        <w:rPr>
          <w:rFonts w:asciiTheme="minorHAnsi" w:eastAsia="Times New Roman" w:hAnsiTheme="minorHAnsi" w:cstheme="minorHAnsi"/>
          <w:b/>
          <w:bCs/>
          <w:sz w:val="24"/>
          <w:szCs w:val="24"/>
          <w:u w:val="single"/>
        </w:rPr>
        <w:t>A</w:t>
      </w:r>
      <w:r w:rsidR="007B006E">
        <w:rPr>
          <w:rFonts w:asciiTheme="minorHAnsi" w:eastAsia="Times New Roman" w:hAnsiTheme="minorHAnsi" w:cstheme="minorHAnsi"/>
          <w:b/>
          <w:bCs/>
          <w:sz w:val="24"/>
          <w:szCs w:val="24"/>
          <w:u w:val="single"/>
        </w:rPr>
        <w:t>bstract</w:t>
      </w:r>
      <w:bookmarkStart w:id="1" w:name="_GoBack"/>
      <w:bookmarkEnd w:id="1"/>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27" w:lineRule="exact"/>
        <w:rPr>
          <w:rFonts w:asciiTheme="minorHAnsi" w:hAnsiTheme="minorHAnsi" w:cstheme="minorHAnsi"/>
          <w:sz w:val="24"/>
          <w:szCs w:val="24"/>
        </w:rPr>
      </w:pPr>
    </w:p>
    <w:p w:rsidR="00B9758B" w:rsidRPr="0092479A" w:rsidRDefault="0092479A">
      <w:pPr>
        <w:spacing w:line="230" w:lineRule="auto"/>
        <w:ind w:right="480"/>
        <w:rPr>
          <w:rFonts w:asciiTheme="minorHAnsi" w:hAnsiTheme="minorHAnsi" w:cstheme="minorHAnsi"/>
          <w:sz w:val="24"/>
          <w:szCs w:val="24"/>
        </w:rPr>
      </w:pPr>
      <w:r w:rsidRPr="0092479A">
        <w:rPr>
          <w:rFonts w:asciiTheme="minorHAnsi" w:eastAsia="Times New Roman" w:hAnsiTheme="minorHAnsi" w:cstheme="minorHAnsi"/>
          <w:b/>
          <w:bCs/>
          <w:sz w:val="24"/>
          <w:szCs w:val="24"/>
        </w:rPr>
        <w:t xml:space="preserve">Title: </w:t>
      </w:r>
      <w:r w:rsidR="006E33F0">
        <w:rPr>
          <w:rFonts w:asciiTheme="minorHAnsi" w:eastAsia="Times New Roman" w:hAnsiTheme="minorHAnsi" w:cstheme="minorHAnsi"/>
          <w:b/>
          <w:bCs/>
          <w:sz w:val="24"/>
          <w:szCs w:val="24"/>
        </w:rPr>
        <w:t xml:space="preserve">Biological applications of microfluidics </w:t>
      </w:r>
      <w:r w:rsidR="006C2936">
        <w:rPr>
          <w:rFonts w:asciiTheme="minorHAnsi" w:eastAsia="Times New Roman" w:hAnsiTheme="minorHAnsi" w:cstheme="minorHAnsi"/>
          <w:b/>
          <w:bCs/>
          <w:sz w:val="24"/>
          <w:szCs w:val="24"/>
        </w:rPr>
        <w:t>in</w:t>
      </w:r>
      <w:r w:rsidR="006E33F0">
        <w:rPr>
          <w:rFonts w:asciiTheme="minorHAnsi" w:eastAsia="Times New Roman" w:hAnsiTheme="minorHAnsi" w:cstheme="minorHAnsi"/>
          <w:b/>
          <w:bCs/>
          <w:sz w:val="24"/>
          <w:szCs w:val="24"/>
        </w:rPr>
        <w:t xml:space="preserve"> cell motility and plant root growth dynamics</w:t>
      </w:r>
    </w:p>
    <w:p w:rsidR="00B9758B" w:rsidRPr="0092479A" w:rsidRDefault="00B9758B">
      <w:pPr>
        <w:spacing w:line="204" w:lineRule="exact"/>
        <w:rPr>
          <w:rFonts w:asciiTheme="minorHAnsi" w:hAnsiTheme="minorHAnsi" w:cstheme="minorHAnsi"/>
          <w:sz w:val="24"/>
          <w:szCs w:val="24"/>
        </w:rPr>
      </w:pPr>
    </w:p>
    <w:p w:rsidR="00B9758B" w:rsidRPr="0092479A" w:rsidRDefault="006E33F0">
      <w:pPr>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Jack Merrin</w:t>
      </w:r>
      <w:r>
        <w:rPr>
          <w:rFonts w:asciiTheme="minorHAnsi" w:eastAsia="Times New Roman" w:hAnsiTheme="minorHAnsi" w:cstheme="minorHAnsi"/>
          <w:b/>
          <w:bCs/>
          <w:sz w:val="24"/>
          <w:szCs w:val="24"/>
          <w:vertAlign w:val="superscript"/>
        </w:rPr>
        <w:t>1</w:t>
      </w:r>
      <w:r w:rsidR="0092479A" w:rsidRPr="0092479A">
        <w:rPr>
          <w:rFonts w:asciiTheme="minorHAnsi" w:eastAsia="Times New Roman" w:hAnsiTheme="minorHAnsi" w:cstheme="minorHAnsi"/>
          <w:b/>
          <w:bCs/>
          <w:sz w:val="24"/>
          <w:szCs w:val="24"/>
        </w:rPr>
        <w:t>,</w:t>
      </w:r>
    </w:p>
    <w:p w:rsidR="00B9758B" w:rsidRPr="0092479A" w:rsidRDefault="0092479A">
      <w:pPr>
        <w:spacing w:line="182" w:lineRule="auto"/>
        <w:rPr>
          <w:rFonts w:asciiTheme="minorHAnsi" w:hAnsiTheme="minorHAnsi" w:cstheme="minorHAnsi"/>
          <w:sz w:val="24"/>
          <w:szCs w:val="24"/>
        </w:rPr>
      </w:pPr>
      <w:r w:rsidRPr="0092479A">
        <w:rPr>
          <w:rFonts w:asciiTheme="minorHAnsi" w:eastAsia="Times New Roman" w:hAnsiTheme="minorHAnsi" w:cstheme="minorHAnsi"/>
          <w:sz w:val="24"/>
          <w:szCs w:val="24"/>
          <w:vertAlign w:val="superscript"/>
        </w:rPr>
        <w:t>1</w:t>
      </w:r>
      <w:r w:rsidR="006E33F0">
        <w:rPr>
          <w:rFonts w:asciiTheme="minorHAnsi" w:eastAsia="Times New Roman" w:hAnsiTheme="minorHAnsi" w:cstheme="minorHAnsi"/>
          <w:sz w:val="24"/>
          <w:szCs w:val="24"/>
        </w:rPr>
        <w:t>Microfluidics Staff Scientist, Institute of Science and Technology Austria, Klosterneuburg, Austria</w:t>
      </w:r>
    </w:p>
    <w:p w:rsidR="00B9758B" w:rsidRPr="0092479A" w:rsidRDefault="00B9758B" w:rsidP="006E33F0">
      <w:pPr>
        <w:spacing w:line="181" w:lineRule="auto"/>
        <w:rPr>
          <w:rFonts w:asciiTheme="minorHAnsi" w:hAnsiTheme="minorHAnsi" w:cstheme="minorHAnsi"/>
          <w:sz w:val="24"/>
          <w:szCs w:val="24"/>
        </w:rPr>
        <w:sectPr w:rsidR="00B9758B" w:rsidRPr="0092479A" w:rsidSect="0092479A">
          <w:pgSz w:w="11900" w:h="16834"/>
          <w:pgMar w:top="1070" w:right="719" w:bottom="0" w:left="740" w:header="0" w:footer="0" w:gutter="0"/>
          <w:cols w:space="720"/>
        </w:sect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6E33F0">
      <w:pPr>
        <w:spacing w:line="234" w:lineRule="auto"/>
        <w:ind w:right="680"/>
        <w:rPr>
          <w:rFonts w:asciiTheme="minorHAnsi" w:hAnsiTheme="minorHAnsi" w:cstheme="minorHAnsi"/>
          <w:sz w:val="24"/>
          <w:szCs w:val="24"/>
        </w:rPr>
      </w:pPr>
      <w:r>
        <w:rPr>
          <w:rFonts w:asciiTheme="minorHAnsi" w:eastAsia="Times New Roman" w:hAnsiTheme="minorHAnsi" w:cstheme="minorHAnsi"/>
          <w:b/>
          <w:bCs/>
          <w:sz w:val="24"/>
          <w:szCs w:val="24"/>
        </w:rPr>
        <w:t xml:space="preserve">Keywords: Microfluidics, BioMEMS, Cell Motility, </w:t>
      </w:r>
      <w:r w:rsidRPr="006E33F0">
        <w:rPr>
          <w:rFonts w:asciiTheme="minorHAnsi" w:eastAsia="Times New Roman" w:hAnsiTheme="minorHAnsi" w:cstheme="minorHAnsi"/>
          <w:b/>
          <w:bCs/>
          <w:i/>
          <w:sz w:val="24"/>
          <w:szCs w:val="24"/>
        </w:rPr>
        <w:t>Arabidopsis thaliana</w:t>
      </w:r>
      <w:r>
        <w:rPr>
          <w:rFonts w:asciiTheme="minorHAnsi" w:eastAsia="Times New Roman" w:hAnsiTheme="minorHAnsi" w:cstheme="minorHAnsi"/>
          <w:b/>
          <w:bCs/>
          <w:sz w:val="24"/>
          <w:szCs w:val="24"/>
        </w:rPr>
        <w:t>, Dendritic Cells</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59" w:lineRule="exact"/>
        <w:rPr>
          <w:rFonts w:asciiTheme="minorHAnsi" w:hAnsiTheme="minorHAnsi" w:cstheme="minorHAnsi"/>
          <w:sz w:val="24"/>
          <w:szCs w:val="24"/>
        </w:rPr>
      </w:pPr>
    </w:p>
    <w:p w:rsidR="00B9758B" w:rsidRPr="0092479A" w:rsidRDefault="0092479A">
      <w:pPr>
        <w:numPr>
          <w:ilvl w:val="0"/>
          <w:numId w:val="1"/>
        </w:numPr>
        <w:tabs>
          <w:tab w:val="left" w:pos="1440"/>
        </w:tabs>
        <w:ind w:left="1440" w:hanging="45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Abstract Body (up to 250</w:t>
      </w:r>
      <w:r>
        <w:rPr>
          <w:rFonts w:asciiTheme="minorHAnsi" w:eastAsia="Times New Roman" w:hAnsiTheme="minorHAnsi" w:cstheme="minorHAnsi"/>
          <w:b/>
          <w:bCs/>
          <w:sz w:val="24"/>
          <w:szCs w:val="24"/>
        </w:rPr>
        <w:t>-300</w:t>
      </w:r>
      <w:r w:rsidRPr="0092479A">
        <w:rPr>
          <w:rFonts w:asciiTheme="minorHAnsi" w:eastAsia="Times New Roman" w:hAnsiTheme="minorHAnsi" w:cstheme="minorHAnsi"/>
          <w:b/>
          <w:bCs/>
          <w:sz w:val="24"/>
          <w:szCs w:val="24"/>
        </w:rPr>
        <w:t xml:space="preserve"> words)</w:t>
      </w:r>
    </w:p>
    <w:p w:rsidR="00B9758B" w:rsidRPr="0092479A" w:rsidRDefault="00B9758B">
      <w:pPr>
        <w:spacing w:line="130" w:lineRule="exact"/>
        <w:rPr>
          <w:rFonts w:asciiTheme="minorHAnsi" w:hAnsiTheme="minorHAnsi" w:cstheme="minorHAnsi"/>
          <w:sz w:val="24"/>
          <w:szCs w:val="24"/>
        </w:rPr>
      </w:pPr>
    </w:p>
    <w:p w:rsidR="006C2936" w:rsidRDefault="006C2936">
      <w:pPr>
        <w:spacing w:line="249" w:lineRule="exact"/>
        <w:rPr>
          <w:color w:val="222222"/>
          <w:sz w:val="27"/>
          <w:szCs w:val="27"/>
          <w:shd w:val="clear" w:color="auto" w:fill="FFFFFF"/>
        </w:rPr>
      </w:pPr>
    </w:p>
    <w:p w:rsidR="005C28B4" w:rsidRDefault="005C28B4" w:rsidP="005C28B4">
      <w:pPr>
        <w:pStyle w:val="NormalWeb"/>
        <w:spacing w:before="0" w:beforeAutospacing="0" w:after="0" w:afterAutospacing="0"/>
        <w:rPr>
          <w:color w:val="0E101A"/>
        </w:rPr>
      </w:pPr>
      <w:r>
        <w:rPr>
          <w:color w:val="0E101A"/>
        </w:rPr>
        <w:t>Microfluidics is increasingly becoming useful in a diverse range of biological investigations of model organisms. In this presentation, I will show two examples of how microf</w:t>
      </w:r>
      <w:r>
        <w:rPr>
          <w:color w:val="0E101A"/>
        </w:rPr>
        <w:t xml:space="preserve">luidics is used to study immune </w:t>
      </w:r>
      <w:r>
        <w:rPr>
          <w:color w:val="0E101A"/>
        </w:rPr>
        <w:t>cells and plant roots, which cannot be accomplished by traditional methods.</w:t>
      </w:r>
    </w:p>
    <w:p w:rsidR="005C28B4" w:rsidRDefault="005C28B4" w:rsidP="005C28B4">
      <w:pPr>
        <w:pStyle w:val="NormalWeb"/>
        <w:spacing w:before="0" w:beforeAutospacing="0" w:after="0" w:afterAutospacing="0"/>
        <w:rPr>
          <w:color w:val="0E101A"/>
        </w:rPr>
      </w:pPr>
      <w:r>
        <w:rPr>
          <w:color w:val="0E101A"/>
        </w:rPr>
        <w:t> </w:t>
      </w:r>
    </w:p>
    <w:p w:rsidR="005C28B4" w:rsidRDefault="005C28B4" w:rsidP="005C28B4">
      <w:pPr>
        <w:pStyle w:val="NormalWeb"/>
        <w:spacing w:before="0" w:beforeAutospacing="0" w:after="0" w:afterAutospacing="0"/>
        <w:rPr>
          <w:color w:val="0E101A"/>
        </w:rPr>
      </w:pPr>
      <w:r>
        <w:rPr>
          <w:color w:val="0E101A"/>
        </w:rPr>
        <w:t>Eukaryotic cells such as leukocytes are generally</w:t>
      </w:r>
      <w:r>
        <w:rPr>
          <w:color w:val="0E101A"/>
        </w:rPr>
        <w:t xml:space="preserve"> </w:t>
      </w:r>
      <w:r>
        <w:rPr>
          <w:color w:val="0E101A"/>
        </w:rPr>
        <w:t>understood to move forward by retrograde flow of the actin cytoskeleton, which</w:t>
      </w:r>
      <w:r>
        <w:rPr>
          <w:color w:val="0E101A"/>
        </w:rPr>
        <w:t xml:space="preserve"> is coupled to the membrane</w:t>
      </w:r>
      <w:r>
        <w:rPr>
          <w:color w:val="0E101A"/>
        </w:rPr>
        <w:t xml:space="preserve"> through adhesion molecules. A new mode of locomotion is</w:t>
      </w:r>
      <w:r>
        <w:rPr>
          <w:color w:val="0E101A"/>
        </w:rPr>
        <w:t xml:space="preserve"> </w:t>
      </w:r>
      <w:r>
        <w:rPr>
          <w:color w:val="0E101A"/>
        </w:rPr>
        <w:t>de</w:t>
      </w:r>
      <w:r>
        <w:rPr>
          <w:color w:val="0E101A"/>
        </w:rPr>
        <w:t xml:space="preserve">monstrated by pressing off </w:t>
      </w:r>
      <w:r>
        <w:rPr>
          <w:color w:val="0E101A"/>
        </w:rPr>
        <w:t>environmental topography even in the absence</w:t>
      </w:r>
      <w:r>
        <w:rPr>
          <w:color w:val="0E101A"/>
        </w:rPr>
        <w:t xml:space="preserve"> </w:t>
      </w:r>
      <w:r>
        <w:rPr>
          <w:color w:val="0E101A"/>
        </w:rPr>
        <w:t>of adhesion. This is demonstrated through the use of a series of microfluidic</w:t>
      </w:r>
      <w:r>
        <w:rPr>
          <w:color w:val="0E101A"/>
        </w:rPr>
        <w:t xml:space="preserve"> </w:t>
      </w:r>
      <w:r>
        <w:rPr>
          <w:color w:val="0E101A"/>
        </w:rPr>
        <w:t>confining geometries and video microscopy. Genetic knockouts of dendritic cells</w:t>
      </w:r>
      <w:r>
        <w:rPr>
          <w:color w:val="0E101A"/>
        </w:rPr>
        <w:t xml:space="preserve"> </w:t>
      </w:r>
      <w:r>
        <w:rPr>
          <w:color w:val="0E101A"/>
        </w:rPr>
        <w:t>in the known pathways for surface adhesion can still move in microchannels if</w:t>
      </w:r>
      <w:r>
        <w:rPr>
          <w:color w:val="0E101A"/>
        </w:rPr>
        <w:t xml:space="preserve"> </w:t>
      </w:r>
      <w:r>
        <w:rPr>
          <w:color w:val="0E101A"/>
        </w:rPr>
        <w:t>the walls are less than the dimensions of cells and if they differ enough from</w:t>
      </w:r>
      <w:r>
        <w:rPr>
          <w:color w:val="0E101A"/>
        </w:rPr>
        <w:t xml:space="preserve"> </w:t>
      </w:r>
      <w:r>
        <w:rPr>
          <w:color w:val="0E101A"/>
        </w:rPr>
        <w:t>being parallel.</w:t>
      </w:r>
    </w:p>
    <w:p w:rsidR="005C28B4" w:rsidRDefault="005C28B4" w:rsidP="005C28B4">
      <w:pPr>
        <w:pStyle w:val="NormalWeb"/>
        <w:spacing w:before="0" w:beforeAutospacing="0" w:after="0" w:afterAutospacing="0"/>
        <w:rPr>
          <w:color w:val="0E101A"/>
        </w:rPr>
      </w:pPr>
      <w:r>
        <w:rPr>
          <w:color w:val="0E101A"/>
        </w:rPr>
        <w:t> </w:t>
      </w:r>
    </w:p>
    <w:p w:rsidR="005C28B4" w:rsidRDefault="005C28B4" w:rsidP="005C28B4">
      <w:pPr>
        <w:pStyle w:val="NormalWeb"/>
        <w:spacing w:before="0" w:beforeAutospacing="0" w:after="0" w:afterAutospacing="0"/>
        <w:rPr>
          <w:color w:val="0E101A"/>
        </w:rPr>
      </w:pPr>
      <w:r>
        <w:rPr>
          <w:color w:val="0E101A"/>
        </w:rPr>
        <w:t>The plant hormone auxin is involved in a variety of</w:t>
      </w:r>
      <w:r>
        <w:rPr>
          <w:color w:val="0E101A"/>
        </w:rPr>
        <w:t xml:space="preserve"> </w:t>
      </w:r>
      <w:r>
        <w:rPr>
          <w:color w:val="0E101A"/>
        </w:rPr>
        <w:t>developmental and physiological processes, such as plant root growth inhibition. In </w:t>
      </w:r>
      <w:r>
        <w:rPr>
          <w:rStyle w:val="Emphasis"/>
          <w:color w:val="0E101A"/>
        </w:rPr>
        <w:t>Arabidopsis thaliana</w:t>
      </w:r>
      <w:r>
        <w:rPr>
          <w:color w:val="0E101A"/>
        </w:rPr>
        <w:t>, with the use of microfluidics, microscopy, and genetic engineering, it is revealed that the root growth rate can respond rapidly and reversibly to local auxin concentration. Since it acts faster than transcription, this suggests a new alternative pathway challenging the traditional understanding of auxin.</w:t>
      </w:r>
    </w:p>
    <w:p w:rsidR="006C2936" w:rsidRDefault="006C2936">
      <w:pPr>
        <w:spacing w:line="249" w:lineRule="exact"/>
        <w:rPr>
          <w:rFonts w:asciiTheme="minorHAnsi" w:hAnsiTheme="minorHAnsi" w:cstheme="minorHAnsi"/>
          <w:sz w:val="24"/>
          <w:szCs w:val="24"/>
        </w:rPr>
      </w:pPr>
    </w:p>
    <w:p w:rsidR="006C2936" w:rsidRPr="0092479A" w:rsidRDefault="006C2936">
      <w:pPr>
        <w:spacing w:line="249" w:lineRule="exact"/>
        <w:rPr>
          <w:rFonts w:asciiTheme="minorHAnsi" w:hAnsiTheme="minorHAnsi" w:cstheme="minorHAnsi"/>
          <w:sz w:val="24"/>
          <w:szCs w:val="24"/>
        </w:rPr>
      </w:pPr>
    </w:p>
    <w:p w:rsidR="00B9758B" w:rsidRDefault="0092479A">
      <w:pPr>
        <w:numPr>
          <w:ilvl w:val="0"/>
          <w:numId w:val="2"/>
        </w:numPr>
        <w:tabs>
          <w:tab w:val="left" w:pos="1480"/>
        </w:tabs>
        <w:ind w:left="1480" w:hanging="49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Image:</w:t>
      </w:r>
    </w:p>
    <w:p w:rsidR="00FE3CE2" w:rsidRDefault="00FE3CE2" w:rsidP="00FE3CE2">
      <w:pPr>
        <w:tabs>
          <w:tab w:val="left" w:pos="1480"/>
        </w:tabs>
        <w:ind w:left="988"/>
        <w:rPr>
          <w:rFonts w:asciiTheme="minorHAnsi" w:eastAsia="Times New Roman" w:hAnsiTheme="minorHAnsi" w:cstheme="minorHAnsi"/>
          <w:b/>
          <w:bCs/>
          <w:sz w:val="24"/>
          <w:szCs w:val="24"/>
        </w:rPr>
      </w:pPr>
    </w:p>
    <w:p w:rsidR="00FE3CE2" w:rsidRPr="0092479A" w:rsidRDefault="00FE3CE2" w:rsidP="00FE3CE2">
      <w:pPr>
        <w:tabs>
          <w:tab w:val="left" w:pos="1480"/>
        </w:tabs>
        <w:ind w:left="988"/>
        <w:rPr>
          <w:rFonts w:asciiTheme="minorHAnsi" w:eastAsia="Times New Roman" w:hAnsiTheme="minorHAnsi" w:cstheme="minorHAnsi"/>
          <w:b/>
          <w:bCs/>
          <w:sz w:val="24"/>
          <w:szCs w:val="24"/>
        </w:rPr>
      </w:pPr>
      <w:r>
        <w:rPr>
          <w:rFonts w:asciiTheme="minorHAnsi" w:eastAsia="Times New Roman" w:hAnsiTheme="minorHAnsi" w:cstheme="minorHAnsi"/>
          <w:b/>
          <w:bCs/>
          <w:noProof/>
          <w:sz w:val="24"/>
          <w:szCs w:val="24"/>
          <w:lang w:val="en-US" w:eastAsia="en-US"/>
        </w:rPr>
        <w:drawing>
          <wp:inline distT="0" distB="0" distL="0" distR="0">
            <wp:extent cx="3199428" cy="311467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rrinAbstract.png"/>
                    <pic:cNvPicPr/>
                  </pic:nvPicPr>
                  <pic:blipFill>
                    <a:blip r:embed="rId5">
                      <a:extLst>
                        <a:ext uri="{28A0092B-C50C-407E-A947-70E740481C1C}">
                          <a14:useLocalDpi xmlns:a14="http://schemas.microsoft.com/office/drawing/2010/main" val="0"/>
                        </a:ext>
                      </a:extLst>
                    </a:blip>
                    <a:stretch>
                      <a:fillRect/>
                    </a:stretch>
                  </pic:blipFill>
                  <pic:spPr>
                    <a:xfrm>
                      <a:off x="0" y="0"/>
                      <a:ext cx="3233148" cy="3147502"/>
                    </a:xfrm>
                    <a:prstGeom prst="rect">
                      <a:avLst/>
                    </a:prstGeom>
                  </pic:spPr>
                </pic:pic>
              </a:graphicData>
            </a:graphic>
          </wp:inline>
        </w:drawing>
      </w:r>
    </w:p>
    <w:p w:rsidR="00B9758B" w:rsidRPr="0092479A" w:rsidRDefault="00FE3CE2">
      <w:pPr>
        <w:spacing w:line="20" w:lineRule="exact"/>
        <w:rPr>
          <w:rFonts w:asciiTheme="minorHAnsi" w:hAnsiTheme="minorHAnsi" w:cstheme="minorHAnsi"/>
          <w:sz w:val="24"/>
          <w:szCs w:val="24"/>
        </w:rPr>
      </w:pPr>
      <w:r>
        <w:rPr>
          <w:rFonts w:asciiTheme="minorHAnsi" w:hAnsiTheme="minorHAnsi" w:cstheme="minorHAnsi"/>
          <w:noProof/>
          <w:sz w:val="24"/>
          <w:szCs w:val="24"/>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75pt;height:330.75pt">
            <v:imagedata r:id="rId6" o:title="MerrinAbstract"/>
          </v:shape>
        </w:pict>
      </w:r>
      <w:r>
        <w:rPr>
          <w:rFonts w:asciiTheme="minorHAnsi" w:hAnsiTheme="minorHAnsi" w:cstheme="minorHAnsi"/>
          <w:noProof/>
          <w:sz w:val="24"/>
          <w:szCs w:val="24"/>
          <w:lang w:val="en-US" w:eastAsia="en-US"/>
        </w:rPr>
        <w:pict>
          <v:shape id="_x0000_i1026" type="#_x0000_t75" style="width:339.75pt;height:330.75pt">
            <v:imagedata r:id="rId6" o:title="MerrinAbstract"/>
          </v:shape>
        </w:pict>
      </w:r>
    </w:p>
    <w:p w:rsidR="00B9758B" w:rsidRPr="0092479A" w:rsidRDefault="0092479A">
      <w:pPr>
        <w:spacing w:line="20" w:lineRule="exact"/>
        <w:rPr>
          <w:rFonts w:asciiTheme="minorHAnsi" w:hAnsiTheme="minorHAnsi" w:cstheme="minorHAnsi"/>
          <w:sz w:val="24"/>
          <w:szCs w:val="24"/>
        </w:rPr>
      </w:pPr>
      <w:r w:rsidRPr="0092479A">
        <w:rPr>
          <w:rFonts w:asciiTheme="minorHAnsi" w:hAnsiTheme="minorHAnsi" w:cstheme="minorHAnsi"/>
          <w:sz w:val="24"/>
          <w:szCs w:val="24"/>
        </w:rPr>
        <w:br w:type="column"/>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30" w:lineRule="exact"/>
        <w:rPr>
          <w:rFonts w:asciiTheme="minorHAnsi" w:hAnsiTheme="minorHAnsi" w:cstheme="minorHAnsi"/>
          <w:sz w:val="24"/>
          <w:szCs w:val="24"/>
        </w:rPr>
      </w:pPr>
    </w:p>
    <w:p w:rsidR="00D7056E" w:rsidRPr="00D7056E" w:rsidRDefault="00D7056E" w:rsidP="00D7056E">
      <w:pPr>
        <w:tabs>
          <w:tab w:val="left" w:pos="1403"/>
        </w:tabs>
        <w:ind w:left="983"/>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III</w:t>
      </w:r>
      <w:r w:rsidR="0092479A" w:rsidRPr="0092479A">
        <w:rPr>
          <w:rFonts w:asciiTheme="minorHAnsi" w:eastAsia="Times New Roman" w:hAnsiTheme="minorHAnsi" w:cstheme="minorHAnsi"/>
          <w:b/>
          <w:bCs/>
          <w:sz w:val="24"/>
          <w:szCs w:val="24"/>
        </w:rPr>
        <w:t>.</w:t>
      </w:r>
      <w:r w:rsidR="0092479A" w:rsidRPr="0092479A">
        <w:rPr>
          <w:rFonts w:asciiTheme="minorHAnsi" w:eastAsia="Times New Roman" w:hAnsiTheme="minorHAnsi" w:cstheme="minorHAnsi"/>
          <w:b/>
          <w:bCs/>
          <w:sz w:val="24"/>
          <w:szCs w:val="24"/>
        </w:rPr>
        <w:tab/>
        <w:t>Biography:</w:t>
      </w:r>
    </w:p>
    <w:p w:rsidR="00B9758B" w:rsidRPr="0092479A" w:rsidRDefault="00B9758B">
      <w:pPr>
        <w:spacing w:line="130" w:lineRule="exact"/>
        <w:rPr>
          <w:rFonts w:asciiTheme="minorHAnsi" w:hAnsiTheme="minorHAnsi" w:cstheme="minorHAnsi"/>
          <w:sz w:val="24"/>
          <w:szCs w:val="24"/>
        </w:rPr>
      </w:pPr>
    </w:p>
    <w:p w:rsidR="00B9758B" w:rsidRPr="0092479A" w:rsidRDefault="006E33F0" w:rsidP="006E33F0">
      <w:pPr>
        <w:tabs>
          <w:tab w:val="left" w:pos="599"/>
        </w:tabs>
        <w:spacing w:line="236"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Jack Merrin </w:t>
      </w:r>
      <w:r w:rsidR="0092479A" w:rsidRPr="0092479A">
        <w:rPr>
          <w:rFonts w:asciiTheme="minorHAnsi" w:eastAsia="Times New Roman" w:hAnsiTheme="minorHAnsi" w:cstheme="minorHAnsi"/>
          <w:sz w:val="24"/>
          <w:szCs w:val="24"/>
        </w:rPr>
        <w:t>has completed</w:t>
      </w:r>
      <w:r>
        <w:rPr>
          <w:rFonts w:asciiTheme="minorHAnsi" w:eastAsia="Times New Roman" w:hAnsiTheme="minorHAnsi" w:cstheme="minorHAnsi"/>
          <w:sz w:val="24"/>
          <w:szCs w:val="24"/>
        </w:rPr>
        <w:t xml:space="preserve"> his PhD in physics in 2006 from Princeton University. He did postdoctoral studies at Joseph Fourier University, Rockefeller University, and Memorial Sloan Kettering Cancer Ce</w:t>
      </w:r>
      <w:r w:rsidR="00544A4B">
        <w:rPr>
          <w:rFonts w:asciiTheme="minorHAnsi" w:eastAsia="Times New Roman" w:hAnsiTheme="minorHAnsi" w:cstheme="minorHAnsi"/>
          <w:sz w:val="24"/>
          <w:szCs w:val="24"/>
        </w:rPr>
        <w:t xml:space="preserve">nter. Since 2013 Jack has been a microfluidics staff scientist </w:t>
      </w:r>
      <w:r>
        <w:rPr>
          <w:rFonts w:asciiTheme="minorHAnsi" w:eastAsia="Times New Roman" w:hAnsiTheme="minorHAnsi" w:cstheme="minorHAnsi"/>
          <w:sz w:val="24"/>
          <w:szCs w:val="24"/>
        </w:rPr>
        <w:t>at IST Austria specializing in biological applications of microfluidics.</w:t>
      </w:r>
    </w:p>
    <w:p w:rsidR="00D7056E" w:rsidRDefault="00D7056E" w:rsidP="00D7056E">
      <w:pPr>
        <w:tabs>
          <w:tab w:val="left" w:pos="1443"/>
        </w:tabs>
        <w:rPr>
          <w:rFonts w:asciiTheme="minorHAnsi" w:eastAsia="Times New Roman" w:hAnsiTheme="minorHAnsi" w:cstheme="minorHAnsi"/>
          <w:sz w:val="24"/>
          <w:szCs w:val="24"/>
        </w:rPr>
      </w:pPr>
    </w:p>
    <w:p w:rsidR="00B9758B" w:rsidRPr="0092479A" w:rsidRDefault="00D7056E" w:rsidP="00D7056E">
      <w:pPr>
        <w:tabs>
          <w:tab w:val="left" w:pos="1443"/>
        </w:tabs>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ab/>
        <w:t xml:space="preserve">IV. </w:t>
      </w:r>
      <w:r w:rsidR="0092479A" w:rsidRPr="0092479A">
        <w:rPr>
          <w:rFonts w:asciiTheme="minorHAnsi" w:eastAsia="Times New Roman" w:hAnsiTheme="minorHAnsi" w:cstheme="minorHAnsi"/>
          <w:b/>
          <w:bCs/>
          <w:sz w:val="24"/>
          <w:szCs w:val="24"/>
        </w:rPr>
        <w:t>Presenting author details</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18" w:lineRule="exact"/>
        <w:rPr>
          <w:rFonts w:asciiTheme="minorHAnsi" w:hAnsiTheme="minorHAnsi" w:cstheme="minorHAnsi"/>
          <w:sz w:val="24"/>
          <w:szCs w:val="24"/>
        </w:rPr>
      </w:pPr>
    </w:p>
    <w:p w:rsidR="00DD0143" w:rsidRDefault="00DD0143">
      <w:pPr>
        <w:ind w:left="3"/>
        <w:rPr>
          <w:rFonts w:asciiTheme="minorHAnsi" w:eastAsia="Times New Roman" w:hAnsiTheme="minorHAnsi" w:cstheme="minorHAnsi"/>
          <w:sz w:val="24"/>
          <w:szCs w:val="24"/>
        </w:rPr>
      </w:pPr>
      <w:r>
        <w:rPr>
          <w:rFonts w:asciiTheme="minorHAnsi" w:eastAsia="Times New Roman" w:hAnsiTheme="minorHAnsi" w:cstheme="minorHAnsi"/>
          <w:noProof/>
          <w:sz w:val="24"/>
          <w:szCs w:val="24"/>
          <w:lang w:val="en-US" w:eastAsia="en-US"/>
        </w:rPr>
        <w:drawing>
          <wp:inline distT="0" distB="0" distL="0" distR="0">
            <wp:extent cx="923925" cy="1231869"/>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ac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2347" cy="1243099"/>
                    </a:xfrm>
                    <a:prstGeom prst="rect">
                      <a:avLst/>
                    </a:prstGeom>
                  </pic:spPr>
                </pic:pic>
              </a:graphicData>
            </a:graphic>
          </wp:inline>
        </w:drawing>
      </w:r>
    </w:p>
    <w:p w:rsidR="00DD0143" w:rsidRDefault="00DD0143">
      <w:pPr>
        <w:ind w:left="3"/>
        <w:rPr>
          <w:rFonts w:asciiTheme="minorHAnsi" w:eastAsia="Times New Roman" w:hAnsiTheme="minorHAnsi" w:cstheme="minorHAnsi"/>
          <w:sz w:val="24"/>
          <w:szCs w:val="24"/>
        </w:rPr>
      </w:pPr>
    </w:p>
    <w:p w:rsidR="00DD0143" w:rsidRDefault="00DD0143">
      <w:pPr>
        <w:ind w:left="3"/>
        <w:rPr>
          <w:rFonts w:asciiTheme="minorHAnsi" w:eastAsia="Times New Roman" w:hAnsiTheme="minorHAnsi" w:cstheme="minorHAnsi"/>
          <w:sz w:val="24"/>
          <w:szCs w:val="24"/>
        </w:rPr>
      </w:pPr>
    </w:p>
    <w:p w:rsidR="00B9758B" w:rsidRPr="0092479A" w:rsidRDefault="0092479A">
      <w:pPr>
        <w:ind w:left="3"/>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rPr>
        <w:t>Full Name:</w:t>
      </w:r>
      <w:r w:rsidR="006E33F0">
        <w:rPr>
          <w:rFonts w:asciiTheme="minorHAnsi" w:eastAsia="Times New Roman" w:hAnsiTheme="minorHAnsi" w:cstheme="minorHAnsi"/>
          <w:sz w:val="24"/>
          <w:szCs w:val="24"/>
        </w:rPr>
        <w:t xml:space="preserve"> Jack Merrin</w:t>
      </w:r>
    </w:p>
    <w:p w:rsidR="0092479A"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Email id: </w:t>
      </w:r>
      <w:r w:rsidR="006E33F0">
        <w:rPr>
          <w:rFonts w:asciiTheme="minorHAnsi" w:eastAsia="Times New Roman" w:hAnsiTheme="minorHAnsi" w:cstheme="minorHAnsi"/>
          <w:sz w:val="24"/>
          <w:szCs w:val="24"/>
        </w:rPr>
        <w:t>jack.merrin@ist.ac.at</w:t>
      </w:r>
    </w:p>
    <w:p w:rsidR="00B9758B" w:rsidRPr="0092479A" w:rsidRDefault="00B9758B">
      <w:pPr>
        <w:spacing w:line="2" w:lineRule="exact"/>
        <w:rPr>
          <w:rFonts w:asciiTheme="minorHAnsi" w:hAnsiTheme="minorHAnsi" w:cstheme="minorHAnsi"/>
          <w:sz w:val="24"/>
          <w:szCs w:val="24"/>
        </w:rPr>
      </w:pPr>
    </w:p>
    <w:p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Contact number:</w:t>
      </w:r>
      <w:r w:rsidR="006E33F0">
        <w:rPr>
          <w:rFonts w:asciiTheme="minorHAnsi" w:eastAsia="Times New Roman" w:hAnsiTheme="minorHAnsi" w:cstheme="minorHAnsi"/>
          <w:sz w:val="24"/>
          <w:szCs w:val="24"/>
        </w:rPr>
        <w:t xml:space="preserve"> +43 (0) 664 883 49 244</w:t>
      </w:r>
    </w:p>
    <w:p w:rsidR="00B9758B" w:rsidRPr="0092479A" w:rsidRDefault="00B9758B">
      <w:pPr>
        <w:spacing w:line="3" w:lineRule="exact"/>
        <w:rPr>
          <w:rFonts w:asciiTheme="minorHAnsi" w:hAnsiTheme="minorHAnsi" w:cstheme="minorHAnsi"/>
          <w:sz w:val="24"/>
          <w:szCs w:val="24"/>
        </w:rPr>
      </w:pPr>
    </w:p>
    <w:p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Linked In account:</w:t>
      </w:r>
      <w:r w:rsidR="006E33F0">
        <w:rPr>
          <w:rFonts w:asciiTheme="minorHAnsi" w:eastAsia="Times New Roman" w:hAnsiTheme="minorHAnsi" w:cstheme="minorHAnsi"/>
          <w:sz w:val="24"/>
          <w:szCs w:val="24"/>
        </w:rPr>
        <w:t xml:space="preserve"> Jack Merrin</w:t>
      </w:r>
    </w:p>
    <w:p w:rsidR="00B9758B" w:rsidRPr="0092479A" w:rsidRDefault="0092479A">
      <w:pPr>
        <w:spacing w:line="237" w:lineRule="auto"/>
        <w:ind w:left="3"/>
        <w:rPr>
          <w:rFonts w:asciiTheme="minorHAnsi" w:hAnsiTheme="minorHAnsi" w:cstheme="minorHAnsi"/>
          <w:sz w:val="24"/>
          <w:szCs w:val="24"/>
        </w:rPr>
      </w:pPr>
      <w:r w:rsidRPr="0092479A">
        <w:rPr>
          <w:rFonts w:asciiTheme="minorHAnsi" w:eastAsia="Times New Roman" w:hAnsiTheme="minorHAnsi" w:cstheme="minorHAnsi"/>
          <w:sz w:val="24"/>
          <w:szCs w:val="24"/>
        </w:rPr>
        <w:t>Session name/ number:</w:t>
      </w:r>
    </w:p>
    <w:p w:rsidR="00B9758B" w:rsidRPr="0092479A" w:rsidRDefault="00B9758B">
      <w:pPr>
        <w:spacing w:line="3" w:lineRule="exact"/>
        <w:rPr>
          <w:rFonts w:asciiTheme="minorHAnsi" w:hAnsiTheme="minorHAnsi" w:cstheme="minorHAnsi"/>
          <w:sz w:val="24"/>
          <w:szCs w:val="24"/>
        </w:rPr>
      </w:pPr>
    </w:p>
    <w:p w:rsidR="00B9758B" w:rsidRPr="0092479A" w:rsidRDefault="0092479A" w:rsidP="005C28B4">
      <w:pPr>
        <w:ind w:left="3"/>
        <w:rPr>
          <w:rFonts w:asciiTheme="minorHAnsi" w:hAnsiTheme="minorHAnsi" w:cstheme="minorHAnsi"/>
          <w:sz w:val="24"/>
          <w:szCs w:val="24"/>
        </w:rPr>
        <w:sectPr w:rsidR="00B9758B" w:rsidRPr="0092479A" w:rsidSect="0092479A">
          <w:type w:val="continuous"/>
          <w:pgSz w:w="11900" w:h="16834"/>
          <w:pgMar w:top="1070" w:right="719" w:bottom="0" w:left="740" w:header="0" w:footer="0" w:gutter="0"/>
          <w:cols w:space="720"/>
        </w:sectPr>
      </w:pPr>
      <w:r w:rsidRPr="0092479A">
        <w:rPr>
          <w:rFonts w:asciiTheme="minorHAnsi" w:eastAsia="Times New Roman" w:hAnsiTheme="minorHAnsi" w:cstheme="minorHAnsi"/>
          <w:sz w:val="24"/>
          <w:szCs w:val="24"/>
        </w:rPr>
        <w:t>Categ</w:t>
      </w:r>
      <w:r w:rsidR="006E33F0">
        <w:rPr>
          <w:rFonts w:asciiTheme="minorHAnsi" w:eastAsia="Times New Roman" w:hAnsiTheme="minorHAnsi" w:cstheme="minorHAnsi"/>
          <w:sz w:val="24"/>
          <w:szCs w:val="24"/>
        </w:rPr>
        <w:t>ory: Oral Presentation</w:t>
      </w:r>
    </w:p>
    <w:p w:rsidR="00B9758B" w:rsidRPr="0092479A" w:rsidRDefault="00B9758B" w:rsidP="0092479A">
      <w:pPr>
        <w:rPr>
          <w:rFonts w:asciiTheme="minorHAnsi" w:hAnsiTheme="minorHAnsi" w:cstheme="minorHAnsi"/>
          <w:sz w:val="24"/>
          <w:szCs w:val="24"/>
        </w:rPr>
      </w:pPr>
    </w:p>
    <w:sectPr w:rsidR="00B9758B" w:rsidRPr="0092479A" w:rsidSect="0092479A">
      <w:type w:val="continuous"/>
      <w:pgSz w:w="11900" w:h="16834"/>
      <w:pgMar w:top="1070" w:right="719" w:bottom="0" w:left="7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43E881A2"/>
    <w:lvl w:ilvl="0" w:tplc="90049482">
      <w:start w:val="1"/>
      <w:numFmt w:val="decimal"/>
      <w:lvlText w:val="%1"/>
      <w:lvlJc w:val="left"/>
    </w:lvl>
    <w:lvl w:ilvl="1" w:tplc="C946148E">
      <w:start w:val="1"/>
      <w:numFmt w:val="upperLetter"/>
      <w:lvlText w:val="%2"/>
      <w:lvlJc w:val="left"/>
    </w:lvl>
    <w:lvl w:ilvl="2" w:tplc="E5F81186">
      <w:numFmt w:val="decimal"/>
      <w:lvlText w:val=""/>
      <w:lvlJc w:val="left"/>
    </w:lvl>
    <w:lvl w:ilvl="3" w:tplc="ADC4D3F0">
      <w:numFmt w:val="decimal"/>
      <w:lvlText w:val=""/>
      <w:lvlJc w:val="left"/>
    </w:lvl>
    <w:lvl w:ilvl="4" w:tplc="569E6166">
      <w:numFmt w:val="decimal"/>
      <w:lvlText w:val=""/>
      <w:lvlJc w:val="left"/>
    </w:lvl>
    <w:lvl w:ilvl="5" w:tplc="FF029E22">
      <w:numFmt w:val="decimal"/>
      <w:lvlText w:val=""/>
      <w:lvlJc w:val="left"/>
    </w:lvl>
    <w:lvl w:ilvl="6" w:tplc="062046B0">
      <w:numFmt w:val="decimal"/>
      <w:lvlText w:val=""/>
      <w:lvlJc w:val="left"/>
    </w:lvl>
    <w:lvl w:ilvl="7" w:tplc="2D9051B6">
      <w:numFmt w:val="decimal"/>
      <w:lvlText w:val=""/>
      <w:lvlJc w:val="left"/>
    </w:lvl>
    <w:lvl w:ilvl="8" w:tplc="227444DE">
      <w:numFmt w:val="decimal"/>
      <w:lvlText w:val=""/>
      <w:lvlJc w:val="left"/>
    </w:lvl>
  </w:abstractNum>
  <w:abstractNum w:abstractNumId="1" w15:restartNumberingAfterBreak="0">
    <w:nsid w:val="00000BB3"/>
    <w:multiLevelType w:val="hybridMultilevel"/>
    <w:tmpl w:val="675234D4"/>
    <w:lvl w:ilvl="0" w:tplc="FD38FF68">
      <w:start w:val="2"/>
      <w:numFmt w:val="decimal"/>
      <w:lvlText w:val="%1."/>
      <w:lvlJc w:val="left"/>
    </w:lvl>
    <w:lvl w:ilvl="1" w:tplc="F078DAEC">
      <w:numFmt w:val="decimal"/>
      <w:lvlText w:val=""/>
      <w:lvlJc w:val="left"/>
    </w:lvl>
    <w:lvl w:ilvl="2" w:tplc="3CE0D9BC">
      <w:numFmt w:val="decimal"/>
      <w:lvlText w:val=""/>
      <w:lvlJc w:val="left"/>
    </w:lvl>
    <w:lvl w:ilvl="3" w:tplc="C0DE7F5E">
      <w:numFmt w:val="decimal"/>
      <w:lvlText w:val=""/>
      <w:lvlJc w:val="left"/>
    </w:lvl>
    <w:lvl w:ilvl="4" w:tplc="D55472A2">
      <w:numFmt w:val="decimal"/>
      <w:lvlText w:val=""/>
      <w:lvlJc w:val="left"/>
    </w:lvl>
    <w:lvl w:ilvl="5" w:tplc="26AAA338">
      <w:numFmt w:val="decimal"/>
      <w:lvlText w:val=""/>
      <w:lvlJc w:val="left"/>
    </w:lvl>
    <w:lvl w:ilvl="6" w:tplc="03BEDAF8">
      <w:numFmt w:val="decimal"/>
      <w:lvlText w:val=""/>
      <w:lvlJc w:val="left"/>
    </w:lvl>
    <w:lvl w:ilvl="7" w:tplc="F6C4717E">
      <w:numFmt w:val="decimal"/>
      <w:lvlText w:val=""/>
      <w:lvlJc w:val="left"/>
    </w:lvl>
    <w:lvl w:ilvl="8" w:tplc="71B6DE3C">
      <w:numFmt w:val="decimal"/>
      <w:lvlText w:val=""/>
      <w:lvlJc w:val="left"/>
    </w:lvl>
  </w:abstractNum>
  <w:abstractNum w:abstractNumId="2" w15:restartNumberingAfterBreak="0">
    <w:nsid w:val="000026E9"/>
    <w:multiLevelType w:val="hybridMultilevel"/>
    <w:tmpl w:val="DE5CED5A"/>
    <w:lvl w:ilvl="0" w:tplc="37566C08">
      <w:start w:val="1"/>
      <w:numFmt w:val="decimal"/>
      <w:lvlText w:val="%1"/>
      <w:lvlJc w:val="left"/>
    </w:lvl>
    <w:lvl w:ilvl="1" w:tplc="D05A816C">
      <w:start w:val="61"/>
      <w:numFmt w:val="upperLetter"/>
      <w:lvlText w:val="%2."/>
      <w:lvlJc w:val="left"/>
    </w:lvl>
    <w:lvl w:ilvl="2" w:tplc="7C683618">
      <w:numFmt w:val="decimal"/>
      <w:lvlText w:val=""/>
      <w:lvlJc w:val="left"/>
    </w:lvl>
    <w:lvl w:ilvl="3" w:tplc="837A4194">
      <w:numFmt w:val="decimal"/>
      <w:lvlText w:val=""/>
      <w:lvlJc w:val="left"/>
    </w:lvl>
    <w:lvl w:ilvl="4" w:tplc="55E0C53E">
      <w:numFmt w:val="decimal"/>
      <w:lvlText w:val=""/>
      <w:lvlJc w:val="left"/>
    </w:lvl>
    <w:lvl w:ilvl="5" w:tplc="611495B6">
      <w:numFmt w:val="decimal"/>
      <w:lvlText w:val=""/>
      <w:lvlJc w:val="left"/>
    </w:lvl>
    <w:lvl w:ilvl="6" w:tplc="DC263734">
      <w:numFmt w:val="decimal"/>
      <w:lvlText w:val=""/>
      <w:lvlJc w:val="left"/>
    </w:lvl>
    <w:lvl w:ilvl="7" w:tplc="2AEE41C4">
      <w:numFmt w:val="decimal"/>
      <w:lvlText w:val=""/>
      <w:lvlJc w:val="left"/>
    </w:lvl>
    <w:lvl w:ilvl="8" w:tplc="75E42288">
      <w:numFmt w:val="decimal"/>
      <w:lvlText w:val=""/>
      <w:lvlJc w:val="left"/>
    </w:lvl>
  </w:abstractNum>
  <w:abstractNum w:abstractNumId="3" w15:restartNumberingAfterBreak="0">
    <w:nsid w:val="00002EA6"/>
    <w:multiLevelType w:val="hybridMultilevel"/>
    <w:tmpl w:val="4FC25FBA"/>
    <w:lvl w:ilvl="0" w:tplc="D1D09EB6">
      <w:start w:val="102"/>
      <w:numFmt w:val="upperLetter"/>
      <w:lvlText w:val="%1"/>
      <w:lvlJc w:val="left"/>
    </w:lvl>
    <w:lvl w:ilvl="1" w:tplc="1C52E604">
      <w:start w:val="1"/>
      <w:numFmt w:val="upperLetter"/>
      <w:lvlText w:val="%2"/>
      <w:lvlJc w:val="left"/>
    </w:lvl>
    <w:lvl w:ilvl="2" w:tplc="E034AF22">
      <w:start w:val="22"/>
      <w:numFmt w:val="upperLetter"/>
      <w:lvlText w:val="%3."/>
      <w:lvlJc w:val="left"/>
    </w:lvl>
    <w:lvl w:ilvl="3" w:tplc="4DA4246E">
      <w:numFmt w:val="decimal"/>
      <w:lvlText w:val=""/>
      <w:lvlJc w:val="left"/>
    </w:lvl>
    <w:lvl w:ilvl="4" w:tplc="05CCA4C4">
      <w:numFmt w:val="decimal"/>
      <w:lvlText w:val=""/>
      <w:lvlJc w:val="left"/>
    </w:lvl>
    <w:lvl w:ilvl="5" w:tplc="973E9684">
      <w:numFmt w:val="decimal"/>
      <w:lvlText w:val=""/>
      <w:lvlJc w:val="left"/>
    </w:lvl>
    <w:lvl w:ilvl="6" w:tplc="AF96C23C">
      <w:numFmt w:val="decimal"/>
      <w:lvlText w:val=""/>
      <w:lvlJc w:val="left"/>
    </w:lvl>
    <w:lvl w:ilvl="7" w:tplc="1EF85466">
      <w:numFmt w:val="decimal"/>
      <w:lvlText w:val=""/>
      <w:lvlJc w:val="left"/>
    </w:lvl>
    <w:lvl w:ilvl="8" w:tplc="56A0C494">
      <w:numFmt w:val="decimal"/>
      <w:lvlText w:val=""/>
      <w:lvlJc w:val="left"/>
    </w:lvl>
  </w:abstractNum>
  <w:abstractNum w:abstractNumId="4" w15:restartNumberingAfterBreak="0">
    <w:nsid w:val="000041BB"/>
    <w:multiLevelType w:val="hybridMultilevel"/>
    <w:tmpl w:val="1D8E1AA6"/>
    <w:lvl w:ilvl="0" w:tplc="CE6A3AF0">
      <w:start w:val="35"/>
      <w:numFmt w:val="upperLetter"/>
      <w:lvlText w:val="%1."/>
      <w:lvlJc w:val="left"/>
    </w:lvl>
    <w:lvl w:ilvl="1" w:tplc="529A53A6">
      <w:numFmt w:val="decimal"/>
      <w:lvlText w:val=""/>
      <w:lvlJc w:val="left"/>
    </w:lvl>
    <w:lvl w:ilvl="2" w:tplc="9EF49D2C">
      <w:numFmt w:val="decimal"/>
      <w:lvlText w:val=""/>
      <w:lvlJc w:val="left"/>
    </w:lvl>
    <w:lvl w:ilvl="3" w:tplc="14EE4E9A">
      <w:numFmt w:val="decimal"/>
      <w:lvlText w:val=""/>
      <w:lvlJc w:val="left"/>
    </w:lvl>
    <w:lvl w:ilvl="4" w:tplc="E8047A5E">
      <w:numFmt w:val="decimal"/>
      <w:lvlText w:val=""/>
      <w:lvlJc w:val="left"/>
    </w:lvl>
    <w:lvl w:ilvl="5" w:tplc="C63A1E14">
      <w:numFmt w:val="decimal"/>
      <w:lvlText w:val=""/>
      <w:lvlJc w:val="left"/>
    </w:lvl>
    <w:lvl w:ilvl="6" w:tplc="45ECE19C">
      <w:numFmt w:val="decimal"/>
      <w:lvlText w:val=""/>
      <w:lvlJc w:val="left"/>
    </w:lvl>
    <w:lvl w:ilvl="7" w:tplc="A06CE4EA">
      <w:numFmt w:val="decimal"/>
      <w:lvlText w:val=""/>
      <w:lvlJc w:val="left"/>
    </w:lvl>
    <w:lvl w:ilvl="8" w:tplc="9F4827F8">
      <w:numFmt w:val="decimal"/>
      <w:lvlText w:val=""/>
      <w:lvlJc w:val="left"/>
    </w:lvl>
  </w:abstractNum>
  <w:abstractNum w:abstractNumId="5" w15:restartNumberingAfterBreak="0">
    <w:nsid w:val="00005AF1"/>
    <w:multiLevelType w:val="hybridMultilevel"/>
    <w:tmpl w:val="3768EAFE"/>
    <w:lvl w:ilvl="0" w:tplc="BD2E4510">
      <w:start w:val="9"/>
      <w:numFmt w:val="upperLetter"/>
      <w:lvlText w:val="%1."/>
      <w:lvlJc w:val="left"/>
    </w:lvl>
    <w:lvl w:ilvl="1" w:tplc="0AD61A72">
      <w:numFmt w:val="decimal"/>
      <w:lvlText w:val=""/>
      <w:lvlJc w:val="left"/>
    </w:lvl>
    <w:lvl w:ilvl="2" w:tplc="CF1045EA">
      <w:numFmt w:val="decimal"/>
      <w:lvlText w:val=""/>
      <w:lvlJc w:val="left"/>
    </w:lvl>
    <w:lvl w:ilvl="3" w:tplc="8FC061F6">
      <w:numFmt w:val="decimal"/>
      <w:lvlText w:val=""/>
      <w:lvlJc w:val="left"/>
    </w:lvl>
    <w:lvl w:ilvl="4" w:tplc="7F3EF000">
      <w:numFmt w:val="decimal"/>
      <w:lvlText w:val=""/>
      <w:lvlJc w:val="left"/>
    </w:lvl>
    <w:lvl w:ilvl="5" w:tplc="C4E639E2">
      <w:numFmt w:val="decimal"/>
      <w:lvlText w:val=""/>
      <w:lvlJc w:val="left"/>
    </w:lvl>
    <w:lvl w:ilvl="6" w:tplc="17F4559E">
      <w:numFmt w:val="decimal"/>
      <w:lvlText w:val=""/>
      <w:lvlJc w:val="left"/>
    </w:lvl>
    <w:lvl w:ilvl="7" w:tplc="EDC660B6">
      <w:numFmt w:val="decimal"/>
      <w:lvlText w:val=""/>
      <w:lvlJc w:val="left"/>
    </w:lvl>
    <w:lvl w:ilvl="8" w:tplc="971233A8">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58B"/>
    <w:rsid w:val="00020BEE"/>
    <w:rsid w:val="00223F14"/>
    <w:rsid w:val="002C0D9F"/>
    <w:rsid w:val="00544A4B"/>
    <w:rsid w:val="005C28B4"/>
    <w:rsid w:val="006C2936"/>
    <w:rsid w:val="006E33F0"/>
    <w:rsid w:val="007B006E"/>
    <w:rsid w:val="0092479A"/>
    <w:rsid w:val="00B31DA6"/>
    <w:rsid w:val="00B9758B"/>
    <w:rsid w:val="00D7056E"/>
    <w:rsid w:val="00DD0143"/>
    <w:rsid w:val="00E4146D"/>
    <w:rsid w:val="00FE3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23CD4"/>
  <w15:docId w15:val="{180EA081-BDD8-4B29-8232-835EB5318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3CE2"/>
    <w:rPr>
      <w:color w:val="0000FF"/>
      <w:u w:val="single"/>
    </w:rPr>
  </w:style>
  <w:style w:type="paragraph" w:styleId="NormalWeb">
    <w:name w:val="Normal (Web)"/>
    <w:basedOn w:val="Normal"/>
    <w:uiPriority w:val="99"/>
    <w:semiHidden/>
    <w:unhideWhenUsed/>
    <w:rsid w:val="00020BEE"/>
    <w:pPr>
      <w:spacing w:before="100" w:beforeAutospacing="1" w:after="100" w:afterAutospacing="1"/>
    </w:pPr>
    <w:rPr>
      <w:rFonts w:eastAsia="Times New Roman"/>
      <w:sz w:val="24"/>
      <w:szCs w:val="24"/>
      <w:lang w:val="en-US" w:eastAsia="en-US"/>
    </w:rPr>
  </w:style>
  <w:style w:type="character" w:styleId="Emphasis">
    <w:name w:val="Emphasis"/>
    <w:basedOn w:val="DefaultParagraphFont"/>
    <w:uiPriority w:val="20"/>
    <w:qFormat/>
    <w:rsid w:val="00020B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94524">
      <w:bodyDiv w:val="1"/>
      <w:marLeft w:val="0"/>
      <w:marRight w:val="0"/>
      <w:marTop w:val="0"/>
      <w:marBottom w:val="0"/>
      <w:divBdr>
        <w:top w:val="none" w:sz="0" w:space="0" w:color="auto"/>
        <w:left w:val="none" w:sz="0" w:space="0" w:color="auto"/>
        <w:bottom w:val="none" w:sz="0" w:space="0" w:color="auto"/>
        <w:right w:val="none" w:sz="0" w:space="0" w:color="auto"/>
      </w:divBdr>
    </w:div>
    <w:div w:id="654265967">
      <w:bodyDiv w:val="1"/>
      <w:marLeft w:val="0"/>
      <w:marRight w:val="0"/>
      <w:marTop w:val="0"/>
      <w:marBottom w:val="0"/>
      <w:divBdr>
        <w:top w:val="none" w:sz="0" w:space="0" w:color="auto"/>
        <w:left w:val="none" w:sz="0" w:space="0" w:color="auto"/>
        <w:bottom w:val="none" w:sz="0" w:space="0" w:color="auto"/>
        <w:right w:val="none" w:sz="0" w:space="0" w:color="auto"/>
      </w:divBdr>
    </w:div>
    <w:div w:id="1429152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Jack MERRIN</cp:lastModifiedBy>
  <cp:revision>10</cp:revision>
  <dcterms:created xsi:type="dcterms:W3CDTF">2020-08-21T11:33:00Z</dcterms:created>
  <dcterms:modified xsi:type="dcterms:W3CDTF">2020-08-21T13:32:00Z</dcterms:modified>
</cp:coreProperties>
</file>