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6613" w:rsidRPr="002F44D7" w:rsidRDefault="002F44D7" w:rsidP="0097701F">
      <w:pPr>
        <w:jc w:val="center"/>
        <w:rPr>
          <w:rFonts w:ascii="Times New Roman" w:hAnsi="Times New Roman"/>
          <w:b/>
          <w:sz w:val="24"/>
        </w:rPr>
      </w:pPr>
      <w:bookmarkStart w:id="0" w:name="_GoBack"/>
      <w:bookmarkEnd w:id="0"/>
      <w:r>
        <w:rPr>
          <w:rFonts w:ascii="Times New Roman" w:hAnsi="Times New Roman"/>
          <w:b/>
          <w:sz w:val="24"/>
        </w:rPr>
        <w:t>Micro-</w:t>
      </w:r>
      <w:r w:rsidR="0097701F" w:rsidRPr="002F44D7">
        <w:rPr>
          <w:rFonts w:ascii="Times New Roman" w:hAnsi="Times New Roman"/>
          <w:b/>
          <w:sz w:val="24"/>
        </w:rPr>
        <w:t>flow analysis</w:t>
      </w:r>
      <w:r>
        <w:rPr>
          <w:rFonts w:ascii="Times New Roman" w:hAnsi="Times New Roman"/>
          <w:b/>
          <w:sz w:val="24"/>
        </w:rPr>
        <w:t xml:space="preserve"> with monolithic columns</w:t>
      </w:r>
    </w:p>
    <w:p w:rsidR="00172035" w:rsidRPr="00265087" w:rsidRDefault="00172035" w:rsidP="00046613">
      <w:pPr>
        <w:ind w:leftChars="607" w:left="1275"/>
        <w:jc w:val="center"/>
        <w:rPr>
          <w:rFonts w:ascii="Times New Roman" w:hAnsi="Times New Roman"/>
          <w:sz w:val="22"/>
          <w:szCs w:val="22"/>
        </w:rPr>
      </w:pPr>
    </w:p>
    <w:p w:rsidR="0097701F" w:rsidRPr="0097701F" w:rsidRDefault="0097701F" w:rsidP="0097701F">
      <w:pPr>
        <w:jc w:val="center"/>
        <w:rPr>
          <w:rFonts w:ascii="Times New Roman" w:hAnsi="Times New Roman"/>
          <w:sz w:val="22"/>
          <w:szCs w:val="22"/>
        </w:rPr>
      </w:pPr>
      <w:r w:rsidRPr="0097701F">
        <w:rPr>
          <w:rFonts w:ascii="Times New Roman" w:hAnsi="Times New Roman"/>
          <w:sz w:val="22"/>
          <w:szCs w:val="22"/>
          <w:u w:val="single"/>
        </w:rPr>
        <w:t>Petr Solich</w:t>
      </w:r>
      <w:r w:rsidRPr="0097701F">
        <w:rPr>
          <w:rFonts w:ascii="Times New Roman" w:hAnsi="Times New Roman"/>
          <w:sz w:val="22"/>
          <w:szCs w:val="22"/>
        </w:rPr>
        <w:t xml:space="preserve">, Dalibor </w:t>
      </w:r>
      <w:proofErr w:type="spellStart"/>
      <w:r w:rsidRPr="0097701F">
        <w:rPr>
          <w:rFonts w:ascii="Times New Roman" w:hAnsi="Times New Roman"/>
          <w:sz w:val="22"/>
          <w:szCs w:val="22"/>
        </w:rPr>
        <w:t>Šatínský</w:t>
      </w:r>
      <w:proofErr w:type="spellEnd"/>
      <w:r w:rsidRPr="0097701F">
        <w:rPr>
          <w:rFonts w:ascii="Times New Roman" w:hAnsi="Times New Roman"/>
          <w:sz w:val="22"/>
          <w:szCs w:val="22"/>
        </w:rPr>
        <w:t xml:space="preserve">, Petr Chocholouš, František Švec </w:t>
      </w:r>
    </w:p>
    <w:p w:rsidR="000A47FD" w:rsidRPr="00265087" w:rsidRDefault="00772325" w:rsidP="007721D7">
      <w:pPr>
        <w:jc w:val="center"/>
        <w:rPr>
          <w:rFonts w:ascii="Times New Roman" w:hAnsi="Times New Roman"/>
          <w:i/>
          <w:sz w:val="22"/>
          <w:szCs w:val="22"/>
        </w:rPr>
      </w:pPr>
      <w:r w:rsidRPr="00265087">
        <w:rPr>
          <w:rFonts w:ascii="Times New Roman" w:hAnsi="Times New Roman"/>
          <w:i/>
          <w:iCs/>
          <w:sz w:val="22"/>
          <w:szCs w:val="22"/>
          <w:vertAlign w:val="superscript"/>
        </w:rPr>
        <w:t xml:space="preserve"> </w:t>
      </w:r>
      <w:r w:rsidR="0097701F" w:rsidRPr="0097701F">
        <w:rPr>
          <w:rFonts w:ascii="Times New Roman" w:hAnsi="Times New Roman"/>
          <w:i/>
          <w:sz w:val="22"/>
          <w:szCs w:val="22"/>
        </w:rPr>
        <w:t>Department of Analytical Chemistry, Faculty of Pharmacy, Charles Univer</w:t>
      </w:r>
      <w:r w:rsidR="0097701F">
        <w:rPr>
          <w:rFonts w:ascii="Times New Roman" w:hAnsi="Times New Roman"/>
          <w:i/>
          <w:sz w:val="22"/>
          <w:szCs w:val="22"/>
        </w:rPr>
        <w:t xml:space="preserve">sity, 500 05 Hradec Králové, </w:t>
      </w:r>
      <w:proofErr w:type="spellStart"/>
      <w:r w:rsidR="0097701F">
        <w:rPr>
          <w:rFonts w:ascii="Times New Roman" w:hAnsi="Times New Roman"/>
          <w:i/>
          <w:sz w:val="22"/>
          <w:szCs w:val="22"/>
        </w:rPr>
        <w:t>Akademika</w:t>
      </w:r>
      <w:proofErr w:type="spellEnd"/>
      <w:r w:rsidR="0097701F" w:rsidRPr="0097701F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="0097701F" w:rsidRPr="0097701F">
        <w:rPr>
          <w:rFonts w:ascii="Times New Roman" w:hAnsi="Times New Roman"/>
          <w:i/>
          <w:sz w:val="22"/>
          <w:szCs w:val="22"/>
        </w:rPr>
        <w:t>Heyrovského</w:t>
      </w:r>
      <w:proofErr w:type="spellEnd"/>
      <w:r w:rsidR="0097701F" w:rsidRPr="0097701F">
        <w:rPr>
          <w:rFonts w:ascii="Times New Roman" w:hAnsi="Times New Roman"/>
          <w:i/>
          <w:sz w:val="22"/>
          <w:szCs w:val="22"/>
        </w:rPr>
        <w:t xml:space="preserve"> 1203, Czech Republic</w:t>
      </w:r>
    </w:p>
    <w:p w:rsidR="0097701F" w:rsidRDefault="0097701F" w:rsidP="00265087">
      <w:pPr>
        <w:jc w:val="center"/>
        <w:rPr>
          <w:rFonts w:ascii="Times New Roman" w:hAnsi="Times New Roman"/>
          <w:i/>
          <w:iCs/>
          <w:sz w:val="22"/>
          <w:szCs w:val="22"/>
          <w:lang w:val="it-IT"/>
        </w:rPr>
      </w:pPr>
    </w:p>
    <w:p w:rsidR="00DD39BB" w:rsidRPr="00265087" w:rsidRDefault="00DD39BB" w:rsidP="00265087">
      <w:pPr>
        <w:jc w:val="center"/>
        <w:rPr>
          <w:rFonts w:ascii="Times New Roman" w:hAnsi="Times New Roman"/>
          <w:sz w:val="22"/>
          <w:szCs w:val="22"/>
          <w:lang w:val="it-IT"/>
        </w:rPr>
      </w:pPr>
      <w:r w:rsidRPr="00265087">
        <w:rPr>
          <w:rFonts w:ascii="Times New Roman" w:hAnsi="Times New Roman"/>
          <w:i/>
          <w:iCs/>
          <w:sz w:val="22"/>
          <w:szCs w:val="22"/>
          <w:lang w:val="it-IT"/>
        </w:rPr>
        <w:t>E-mai</w:t>
      </w:r>
      <w:r w:rsidR="001520EF" w:rsidRPr="00265087">
        <w:rPr>
          <w:rFonts w:ascii="Times New Roman" w:hAnsi="Times New Roman"/>
          <w:i/>
          <w:iCs/>
          <w:sz w:val="22"/>
          <w:szCs w:val="22"/>
          <w:lang w:val="it-IT"/>
        </w:rPr>
        <w:t>l</w:t>
      </w:r>
      <w:r w:rsidRPr="00265087">
        <w:rPr>
          <w:rFonts w:ascii="Times New Roman" w:hAnsi="Times New Roman"/>
          <w:i/>
          <w:iCs/>
          <w:sz w:val="22"/>
          <w:szCs w:val="22"/>
          <w:lang w:val="it-IT"/>
        </w:rPr>
        <w:t>:</w:t>
      </w:r>
      <w:r w:rsidRPr="00265087">
        <w:rPr>
          <w:rFonts w:ascii="Times New Roman" w:hAnsi="Times New Roman"/>
          <w:sz w:val="22"/>
          <w:szCs w:val="22"/>
          <w:lang w:val="it-IT"/>
        </w:rPr>
        <w:t xml:space="preserve"> </w:t>
      </w:r>
      <w:r w:rsidR="0097701F" w:rsidRPr="0097701F">
        <w:rPr>
          <w:rFonts w:ascii="Times New Roman" w:hAnsi="Times New Roman"/>
          <w:i/>
          <w:sz w:val="22"/>
          <w:szCs w:val="22"/>
          <w:lang w:val="it-IT"/>
        </w:rPr>
        <w:t>solich@faf.cuni.cz</w:t>
      </w:r>
    </w:p>
    <w:p w:rsidR="00172035" w:rsidRPr="00265087" w:rsidRDefault="00172035" w:rsidP="00172035">
      <w:pPr>
        <w:rPr>
          <w:rFonts w:ascii="Times New Roman" w:hAnsi="Times New Roman"/>
          <w:sz w:val="22"/>
          <w:szCs w:val="22"/>
          <w:lang w:val="it-IT"/>
        </w:rPr>
      </w:pPr>
    </w:p>
    <w:p w:rsidR="00B72417" w:rsidRPr="0097701F" w:rsidRDefault="002F44D7" w:rsidP="0097701F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Miniaturization in flow analysis can be done by several ways, one of them is </w:t>
      </w:r>
      <w:r w:rsidR="0097701F" w:rsidRPr="0097701F">
        <w:rPr>
          <w:rFonts w:ascii="Times New Roman" w:hAnsi="Times New Roman"/>
          <w:sz w:val="22"/>
          <w:szCs w:val="22"/>
        </w:rPr>
        <w:t>Sequential In</w:t>
      </w:r>
      <w:r w:rsidR="006057AB">
        <w:rPr>
          <w:rFonts w:ascii="Times New Roman" w:hAnsi="Times New Roman"/>
          <w:sz w:val="22"/>
          <w:szCs w:val="22"/>
        </w:rPr>
        <w:t>jection Chromatography (SIC)</w:t>
      </w:r>
      <w:r>
        <w:rPr>
          <w:rFonts w:ascii="Times New Roman" w:hAnsi="Times New Roman"/>
          <w:sz w:val="22"/>
          <w:szCs w:val="22"/>
        </w:rPr>
        <w:t xml:space="preserve">, which </w:t>
      </w:r>
      <w:r w:rsidR="0097701F" w:rsidRPr="0097701F">
        <w:rPr>
          <w:rFonts w:ascii="Times New Roman" w:hAnsi="Times New Roman"/>
          <w:sz w:val="22"/>
          <w:szCs w:val="22"/>
        </w:rPr>
        <w:t>us</w:t>
      </w:r>
      <w:r w:rsidR="00D4402E">
        <w:rPr>
          <w:rFonts w:ascii="Times New Roman" w:hAnsi="Times New Roman"/>
          <w:sz w:val="22"/>
          <w:szCs w:val="22"/>
        </w:rPr>
        <w:t>e</w:t>
      </w:r>
      <w:r w:rsidR="0097701F" w:rsidRPr="0097701F">
        <w:rPr>
          <w:rFonts w:ascii="Times New Roman" w:hAnsi="Times New Roman"/>
          <w:sz w:val="22"/>
          <w:szCs w:val="22"/>
        </w:rPr>
        <w:t xml:space="preserve"> monolithic columns</w:t>
      </w:r>
      <w:r w:rsidR="006057AB">
        <w:rPr>
          <w:rFonts w:ascii="Times New Roman" w:hAnsi="Times New Roman"/>
          <w:sz w:val="22"/>
          <w:szCs w:val="22"/>
        </w:rPr>
        <w:t xml:space="preserve"> for separation process</w:t>
      </w:r>
      <w:r w:rsidR="00D4402E">
        <w:rPr>
          <w:rFonts w:ascii="Times New Roman" w:hAnsi="Times New Roman"/>
          <w:sz w:val="22"/>
          <w:szCs w:val="22"/>
        </w:rPr>
        <w:t>es</w:t>
      </w:r>
      <w:r w:rsidR="0097701F" w:rsidRPr="0097701F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and</w:t>
      </w:r>
      <w:r w:rsidR="0097701F" w:rsidRPr="0097701F">
        <w:rPr>
          <w:rFonts w:ascii="Times New Roman" w:hAnsi="Times New Roman"/>
          <w:sz w:val="22"/>
          <w:szCs w:val="22"/>
        </w:rPr>
        <w:t xml:space="preserve"> presently</w:t>
      </w:r>
      <w:r>
        <w:rPr>
          <w:rFonts w:ascii="Times New Roman" w:hAnsi="Times New Roman"/>
          <w:sz w:val="22"/>
          <w:szCs w:val="22"/>
        </w:rPr>
        <w:t xml:space="preserve"> is already </w:t>
      </w:r>
      <w:r w:rsidR="002A0046">
        <w:rPr>
          <w:rFonts w:ascii="Times New Roman" w:hAnsi="Times New Roman"/>
          <w:sz w:val="22"/>
          <w:szCs w:val="22"/>
        </w:rPr>
        <w:t xml:space="preserve">becoming </w:t>
      </w:r>
      <w:r w:rsidR="0097701F" w:rsidRPr="0097701F">
        <w:rPr>
          <w:rFonts w:ascii="Times New Roman" w:hAnsi="Times New Roman"/>
          <w:sz w:val="22"/>
          <w:szCs w:val="22"/>
        </w:rPr>
        <w:t>well-established analytical technique</w:t>
      </w:r>
      <w:r>
        <w:rPr>
          <w:rFonts w:ascii="Times New Roman" w:hAnsi="Times New Roman"/>
          <w:sz w:val="22"/>
          <w:szCs w:val="22"/>
        </w:rPr>
        <w:t>.</w:t>
      </w:r>
    </w:p>
    <w:p w:rsidR="00B72417" w:rsidRPr="0097701F" w:rsidRDefault="0097701F" w:rsidP="0097701F">
      <w:pPr>
        <w:rPr>
          <w:rFonts w:ascii="Times New Roman" w:hAnsi="Times New Roman"/>
          <w:sz w:val="22"/>
          <w:szCs w:val="22"/>
        </w:rPr>
      </w:pPr>
      <w:r w:rsidRPr="0097701F">
        <w:rPr>
          <w:rFonts w:ascii="Times New Roman" w:hAnsi="Times New Roman"/>
          <w:sz w:val="22"/>
          <w:szCs w:val="22"/>
        </w:rPr>
        <w:t xml:space="preserve">Monolithic materials proved their role </w:t>
      </w:r>
      <w:r w:rsidR="006057AB">
        <w:rPr>
          <w:rFonts w:ascii="Times New Roman" w:hAnsi="Times New Roman"/>
          <w:sz w:val="22"/>
          <w:szCs w:val="22"/>
        </w:rPr>
        <w:t xml:space="preserve">both </w:t>
      </w:r>
      <w:r w:rsidRPr="0097701F">
        <w:rPr>
          <w:rFonts w:ascii="Times New Roman" w:hAnsi="Times New Roman"/>
          <w:sz w:val="22"/>
          <w:szCs w:val="22"/>
        </w:rPr>
        <w:t>as sorbents for solid phase extraction and chromatographic separation. The</w:t>
      </w:r>
      <w:r w:rsidR="006057AB">
        <w:rPr>
          <w:rFonts w:ascii="Times New Roman" w:hAnsi="Times New Roman"/>
          <w:sz w:val="22"/>
          <w:szCs w:val="22"/>
        </w:rPr>
        <w:t>se</w:t>
      </w:r>
      <w:r w:rsidRPr="0097701F">
        <w:rPr>
          <w:rFonts w:ascii="Times New Roman" w:hAnsi="Times New Roman"/>
          <w:sz w:val="22"/>
          <w:szCs w:val="22"/>
        </w:rPr>
        <w:t xml:space="preserve"> methods profit from large active surface (mesopores) and highly porous structure (</w:t>
      </w:r>
      <w:proofErr w:type="spellStart"/>
      <w:r w:rsidRPr="0097701F">
        <w:rPr>
          <w:rFonts w:ascii="Times New Roman" w:hAnsi="Times New Roman"/>
          <w:sz w:val="22"/>
          <w:szCs w:val="22"/>
        </w:rPr>
        <w:t>macropores</w:t>
      </w:r>
      <w:proofErr w:type="spellEnd"/>
      <w:r w:rsidRPr="0097701F">
        <w:rPr>
          <w:rFonts w:ascii="Times New Roman" w:hAnsi="Times New Roman"/>
          <w:sz w:val="22"/>
          <w:szCs w:val="22"/>
        </w:rPr>
        <w:t xml:space="preserve">) of the </w:t>
      </w:r>
      <w:r w:rsidR="00D4402E">
        <w:rPr>
          <w:rFonts w:ascii="Times New Roman" w:hAnsi="Times New Roman"/>
          <w:sz w:val="22"/>
          <w:szCs w:val="22"/>
        </w:rPr>
        <w:t>monoliths</w:t>
      </w:r>
      <w:r w:rsidRPr="0097701F">
        <w:rPr>
          <w:rFonts w:ascii="Times New Roman" w:hAnsi="Times New Roman"/>
          <w:sz w:val="22"/>
          <w:szCs w:val="22"/>
        </w:rPr>
        <w:t xml:space="preserve">. </w:t>
      </w:r>
      <w:r w:rsidR="00D4402E">
        <w:rPr>
          <w:rFonts w:ascii="Times New Roman" w:hAnsi="Times New Roman"/>
          <w:sz w:val="22"/>
          <w:szCs w:val="22"/>
        </w:rPr>
        <w:t>Although</w:t>
      </w:r>
      <w:r w:rsidR="00D4402E" w:rsidRPr="0097701F">
        <w:rPr>
          <w:rFonts w:ascii="Times New Roman" w:hAnsi="Times New Roman"/>
          <w:sz w:val="22"/>
          <w:szCs w:val="22"/>
        </w:rPr>
        <w:t xml:space="preserve"> </w:t>
      </w:r>
      <w:r w:rsidRPr="0097701F">
        <w:rPr>
          <w:rFonts w:ascii="Times New Roman" w:hAnsi="Times New Roman"/>
          <w:sz w:val="22"/>
          <w:szCs w:val="22"/>
        </w:rPr>
        <w:t xml:space="preserve">available commercially, </w:t>
      </w:r>
      <w:r w:rsidR="00D4402E">
        <w:rPr>
          <w:rFonts w:ascii="Times New Roman" w:hAnsi="Times New Roman"/>
          <w:sz w:val="22"/>
          <w:szCs w:val="22"/>
        </w:rPr>
        <w:t>significant</w:t>
      </w:r>
      <w:r w:rsidR="00D4402E" w:rsidRPr="0097701F">
        <w:rPr>
          <w:rFonts w:ascii="Times New Roman" w:hAnsi="Times New Roman"/>
          <w:sz w:val="22"/>
          <w:szCs w:val="22"/>
        </w:rPr>
        <w:t xml:space="preserve"> </w:t>
      </w:r>
      <w:r w:rsidRPr="0097701F">
        <w:rPr>
          <w:rFonts w:ascii="Times New Roman" w:hAnsi="Times New Roman"/>
          <w:sz w:val="22"/>
          <w:szCs w:val="22"/>
        </w:rPr>
        <w:t>benefit arises from eas</w:t>
      </w:r>
      <w:r w:rsidR="00D4402E">
        <w:rPr>
          <w:rFonts w:ascii="Times New Roman" w:hAnsi="Times New Roman"/>
          <w:sz w:val="22"/>
          <w:szCs w:val="22"/>
        </w:rPr>
        <w:t>e of their</w:t>
      </w:r>
      <w:r w:rsidRPr="0097701F">
        <w:rPr>
          <w:rFonts w:ascii="Times New Roman" w:hAnsi="Times New Roman"/>
          <w:sz w:val="22"/>
          <w:szCs w:val="22"/>
        </w:rPr>
        <w:t xml:space="preserve"> preparation in laboratory. </w:t>
      </w:r>
      <w:r w:rsidR="00D4402E">
        <w:rPr>
          <w:rFonts w:ascii="Times New Roman" w:hAnsi="Times New Roman"/>
          <w:sz w:val="22"/>
          <w:szCs w:val="22"/>
        </w:rPr>
        <w:t>Numerous</w:t>
      </w:r>
      <w:r w:rsidRPr="0097701F">
        <w:rPr>
          <w:rFonts w:ascii="Times New Roman" w:hAnsi="Times New Roman"/>
          <w:sz w:val="22"/>
          <w:szCs w:val="22"/>
        </w:rPr>
        <w:t xml:space="preserve"> approaches can be used for preparation </w:t>
      </w:r>
      <w:r w:rsidR="00D4402E">
        <w:rPr>
          <w:rFonts w:ascii="Times New Roman" w:hAnsi="Times New Roman"/>
          <w:sz w:val="22"/>
          <w:szCs w:val="22"/>
        </w:rPr>
        <w:t xml:space="preserve">of </w:t>
      </w:r>
      <w:r w:rsidR="00D4402E" w:rsidRPr="0097701F">
        <w:rPr>
          <w:rFonts w:ascii="Times New Roman" w:hAnsi="Times New Roman"/>
          <w:sz w:val="22"/>
          <w:szCs w:val="22"/>
        </w:rPr>
        <w:t>monolith</w:t>
      </w:r>
      <w:r w:rsidR="00D4402E">
        <w:rPr>
          <w:rFonts w:ascii="Times New Roman" w:hAnsi="Times New Roman"/>
          <w:sz w:val="22"/>
          <w:szCs w:val="22"/>
        </w:rPr>
        <w:t>s</w:t>
      </w:r>
      <w:r w:rsidR="00D4402E" w:rsidRPr="0097701F">
        <w:rPr>
          <w:rFonts w:ascii="Times New Roman" w:hAnsi="Times New Roman"/>
          <w:sz w:val="22"/>
          <w:szCs w:val="22"/>
        </w:rPr>
        <w:t xml:space="preserve"> </w:t>
      </w:r>
      <w:r w:rsidR="00D4402E">
        <w:rPr>
          <w:rFonts w:ascii="Times New Roman" w:hAnsi="Times New Roman"/>
          <w:sz w:val="22"/>
          <w:szCs w:val="22"/>
        </w:rPr>
        <w:t>leading to materials varying in</w:t>
      </w:r>
      <w:r w:rsidRPr="0097701F">
        <w:rPr>
          <w:rFonts w:ascii="Times New Roman" w:hAnsi="Times New Roman"/>
          <w:sz w:val="22"/>
          <w:szCs w:val="22"/>
        </w:rPr>
        <w:t xml:space="preserve"> active surface, porosity, chemistries, polymer prop</w:t>
      </w:r>
      <w:r w:rsidR="00F517B4">
        <w:rPr>
          <w:rFonts w:ascii="Times New Roman" w:hAnsi="Times New Roman"/>
          <w:sz w:val="22"/>
          <w:szCs w:val="22"/>
        </w:rPr>
        <w:t xml:space="preserve">erties, and </w:t>
      </w:r>
      <w:r w:rsidR="00D4402E">
        <w:rPr>
          <w:rFonts w:ascii="Times New Roman" w:hAnsi="Times New Roman"/>
          <w:sz w:val="22"/>
          <w:szCs w:val="22"/>
        </w:rPr>
        <w:t xml:space="preserve">size </w:t>
      </w:r>
      <w:r w:rsidR="00F517B4">
        <w:rPr>
          <w:rFonts w:ascii="Times New Roman" w:hAnsi="Times New Roman"/>
          <w:sz w:val="22"/>
          <w:szCs w:val="22"/>
        </w:rPr>
        <w:t>[1</w:t>
      </w:r>
      <w:r w:rsidRPr="0097701F">
        <w:rPr>
          <w:rFonts w:ascii="Times New Roman" w:hAnsi="Times New Roman"/>
          <w:sz w:val="22"/>
          <w:szCs w:val="22"/>
        </w:rPr>
        <w:t xml:space="preserve">]. This </w:t>
      </w:r>
      <w:r w:rsidR="00D4402E">
        <w:rPr>
          <w:rFonts w:ascii="Times New Roman" w:hAnsi="Times New Roman"/>
          <w:sz w:val="22"/>
          <w:szCs w:val="22"/>
        </w:rPr>
        <w:t xml:space="preserve">flexibility </w:t>
      </w:r>
      <w:r w:rsidRPr="0097701F">
        <w:rPr>
          <w:rFonts w:ascii="Times New Roman" w:hAnsi="Times New Roman"/>
          <w:sz w:val="22"/>
          <w:szCs w:val="22"/>
        </w:rPr>
        <w:t xml:space="preserve">results in extraction </w:t>
      </w:r>
      <w:r w:rsidR="005426B7">
        <w:rPr>
          <w:rFonts w:ascii="Times New Roman" w:hAnsi="Times New Roman"/>
          <w:sz w:val="22"/>
          <w:szCs w:val="22"/>
        </w:rPr>
        <w:t>and</w:t>
      </w:r>
      <w:r w:rsidR="005426B7" w:rsidRPr="0097701F">
        <w:rPr>
          <w:rFonts w:ascii="Times New Roman" w:hAnsi="Times New Roman"/>
          <w:sz w:val="22"/>
          <w:szCs w:val="22"/>
        </w:rPr>
        <w:t xml:space="preserve"> </w:t>
      </w:r>
      <w:r w:rsidRPr="0097701F">
        <w:rPr>
          <w:rFonts w:ascii="Times New Roman" w:hAnsi="Times New Roman"/>
          <w:sz w:val="22"/>
          <w:szCs w:val="22"/>
        </w:rPr>
        <w:t>separation sorbents</w:t>
      </w:r>
      <w:r w:rsidR="006057AB">
        <w:rPr>
          <w:rFonts w:ascii="Times New Roman" w:hAnsi="Times New Roman"/>
          <w:sz w:val="22"/>
          <w:szCs w:val="22"/>
        </w:rPr>
        <w:t xml:space="preserve"> </w:t>
      </w:r>
      <w:r w:rsidR="005426B7">
        <w:rPr>
          <w:rFonts w:ascii="Times New Roman" w:hAnsi="Times New Roman"/>
          <w:sz w:val="22"/>
          <w:szCs w:val="22"/>
        </w:rPr>
        <w:t>including formats such as</w:t>
      </w:r>
      <w:r w:rsidR="005426B7" w:rsidRPr="0097701F">
        <w:rPr>
          <w:rFonts w:ascii="Times New Roman" w:hAnsi="Times New Roman"/>
          <w:sz w:val="22"/>
          <w:szCs w:val="22"/>
        </w:rPr>
        <w:t xml:space="preserve"> </w:t>
      </w:r>
      <w:r w:rsidRPr="0097701F">
        <w:rPr>
          <w:rFonts w:ascii="Times New Roman" w:hAnsi="Times New Roman"/>
          <w:sz w:val="22"/>
          <w:szCs w:val="22"/>
        </w:rPr>
        <w:t xml:space="preserve">pipette tip </w:t>
      </w:r>
      <w:r w:rsidR="005426B7">
        <w:rPr>
          <w:rFonts w:ascii="Times New Roman" w:hAnsi="Times New Roman"/>
          <w:sz w:val="22"/>
          <w:szCs w:val="22"/>
        </w:rPr>
        <w:t>for solid phase extraction (</w:t>
      </w:r>
      <w:r w:rsidRPr="0097701F">
        <w:rPr>
          <w:rFonts w:ascii="Times New Roman" w:hAnsi="Times New Roman"/>
          <w:sz w:val="22"/>
          <w:szCs w:val="22"/>
        </w:rPr>
        <w:t>SPE</w:t>
      </w:r>
      <w:r w:rsidR="005426B7">
        <w:rPr>
          <w:rFonts w:ascii="Times New Roman" w:hAnsi="Times New Roman"/>
          <w:sz w:val="22"/>
          <w:szCs w:val="22"/>
        </w:rPr>
        <w:t>)</w:t>
      </w:r>
      <w:r w:rsidRPr="0097701F">
        <w:rPr>
          <w:rFonts w:ascii="Times New Roman" w:hAnsi="Times New Roman"/>
          <w:sz w:val="22"/>
          <w:szCs w:val="22"/>
        </w:rPr>
        <w:t xml:space="preserve">, micro-column SPE, well-plate SPE, </w:t>
      </w:r>
      <w:r w:rsidR="005426B7">
        <w:rPr>
          <w:rFonts w:ascii="Times New Roman" w:hAnsi="Times New Roman"/>
          <w:sz w:val="22"/>
          <w:szCs w:val="22"/>
        </w:rPr>
        <w:t xml:space="preserve">and </w:t>
      </w:r>
      <w:r w:rsidRPr="0097701F">
        <w:rPr>
          <w:rFonts w:ascii="Times New Roman" w:hAnsi="Times New Roman"/>
          <w:sz w:val="22"/>
          <w:szCs w:val="22"/>
        </w:rPr>
        <w:t xml:space="preserve">HPLC </w:t>
      </w:r>
      <w:r w:rsidR="005426B7">
        <w:rPr>
          <w:rFonts w:ascii="Times New Roman" w:hAnsi="Times New Roman"/>
          <w:sz w:val="22"/>
          <w:szCs w:val="22"/>
        </w:rPr>
        <w:t>analytical and</w:t>
      </w:r>
      <w:r w:rsidRPr="0097701F">
        <w:rPr>
          <w:rFonts w:ascii="Times New Roman" w:hAnsi="Times New Roman"/>
          <w:sz w:val="22"/>
          <w:szCs w:val="22"/>
        </w:rPr>
        <w:t xml:space="preserve"> capillary columns </w:t>
      </w:r>
      <w:r w:rsidR="005426B7">
        <w:rPr>
          <w:rFonts w:ascii="Times New Roman" w:hAnsi="Times New Roman"/>
          <w:sz w:val="22"/>
          <w:szCs w:val="22"/>
        </w:rPr>
        <w:t>that are finding</w:t>
      </w:r>
      <w:r w:rsidR="005426B7" w:rsidRPr="0097701F">
        <w:rPr>
          <w:rFonts w:ascii="Times New Roman" w:hAnsi="Times New Roman"/>
          <w:sz w:val="22"/>
          <w:szCs w:val="22"/>
        </w:rPr>
        <w:t xml:space="preserve"> </w:t>
      </w:r>
      <w:r w:rsidR="005426B7">
        <w:rPr>
          <w:rFonts w:ascii="Times New Roman" w:hAnsi="Times New Roman"/>
          <w:sz w:val="22"/>
          <w:szCs w:val="22"/>
        </w:rPr>
        <w:t>applications</w:t>
      </w:r>
      <w:r w:rsidRPr="0097701F">
        <w:rPr>
          <w:rFonts w:ascii="Times New Roman" w:hAnsi="Times New Roman"/>
          <w:sz w:val="22"/>
          <w:szCs w:val="22"/>
        </w:rPr>
        <w:t xml:space="preserve"> in manual, semi-</w:t>
      </w:r>
      <w:r w:rsidR="00F517B4">
        <w:rPr>
          <w:rFonts w:ascii="Times New Roman" w:hAnsi="Times New Roman"/>
          <w:sz w:val="22"/>
          <w:szCs w:val="22"/>
        </w:rPr>
        <w:t>automated</w:t>
      </w:r>
      <w:r w:rsidR="005426B7">
        <w:rPr>
          <w:rFonts w:ascii="Times New Roman" w:hAnsi="Times New Roman"/>
          <w:sz w:val="22"/>
          <w:szCs w:val="22"/>
        </w:rPr>
        <w:t>,</w:t>
      </w:r>
      <w:r w:rsidR="00F517B4">
        <w:rPr>
          <w:rFonts w:ascii="Times New Roman" w:hAnsi="Times New Roman"/>
          <w:sz w:val="22"/>
          <w:szCs w:val="22"/>
        </w:rPr>
        <w:t xml:space="preserve"> and on-line methods [2</w:t>
      </w:r>
      <w:r w:rsidRPr="0097701F">
        <w:rPr>
          <w:rFonts w:ascii="Times New Roman" w:hAnsi="Times New Roman"/>
          <w:sz w:val="22"/>
          <w:szCs w:val="22"/>
        </w:rPr>
        <w:t xml:space="preserve">]. Typical target samples </w:t>
      </w:r>
      <w:r w:rsidR="002D43A0">
        <w:rPr>
          <w:rFonts w:ascii="Times New Roman" w:hAnsi="Times New Roman"/>
          <w:sz w:val="22"/>
          <w:szCs w:val="22"/>
        </w:rPr>
        <w:t>include</w:t>
      </w:r>
      <w:r w:rsidRPr="0097701F">
        <w:rPr>
          <w:rFonts w:ascii="Times New Roman" w:hAnsi="Times New Roman"/>
          <w:sz w:val="22"/>
          <w:szCs w:val="22"/>
        </w:rPr>
        <w:t xml:space="preserve"> complex environmental and biological </w:t>
      </w:r>
      <w:r w:rsidR="000C47EA" w:rsidRPr="0097701F">
        <w:rPr>
          <w:rFonts w:ascii="Times New Roman" w:hAnsi="Times New Roman"/>
          <w:sz w:val="22"/>
          <w:szCs w:val="22"/>
        </w:rPr>
        <w:t>matrix</w:t>
      </w:r>
      <w:r w:rsidR="000C47EA">
        <w:rPr>
          <w:rFonts w:ascii="Times New Roman" w:hAnsi="Times New Roman"/>
          <w:sz w:val="22"/>
          <w:szCs w:val="22"/>
        </w:rPr>
        <w:t>es,</w:t>
      </w:r>
      <w:r w:rsidR="000C47EA" w:rsidRPr="0097701F">
        <w:rPr>
          <w:rFonts w:ascii="Times New Roman" w:hAnsi="Times New Roman"/>
          <w:sz w:val="22"/>
          <w:szCs w:val="22"/>
        </w:rPr>
        <w:t xml:space="preserve"> </w:t>
      </w:r>
      <w:r w:rsidR="000C47EA">
        <w:rPr>
          <w:rFonts w:ascii="Times New Roman" w:hAnsi="Times New Roman"/>
          <w:sz w:val="22"/>
          <w:szCs w:val="22"/>
        </w:rPr>
        <w:t>as well as</w:t>
      </w:r>
      <w:r w:rsidR="000C47EA" w:rsidRPr="0097701F">
        <w:rPr>
          <w:rFonts w:ascii="Times New Roman" w:hAnsi="Times New Roman"/>
          <w:sz w:val="22"/>
          <w:szCs w:val="22"/>
        </w:rPr>
        <w:t xml:space="preserve"> </w:t>
      </w:r>
      <w:r w:rsidRPr="0097701F">
        <w:rPr>
          <w:rFonts w:ascii="Times New Roman" w:hAnsi="Times New Roman"/>
          <w:sz w:val="22"/>
          <w:szCs w:val="22"/>
        </w:rPr>
        <w:t xml:space="preserve">all kinds of inorganic and organic analytes including biomolecules. </w:t>
      </w:r>
      <w:r w:rsidR="000C47EA">
        <w:rPr>
          <w:rFonts w:ascii="Times New Roman" w:hAnsi="Times New Roman"/>
          <w:sz w:val="22"/>
          <w:szCs w:val="22"/>
        </w:rPr>
        <w:t>A b</w:t>
      </w:r>
      <w:r w:rsidRPr="0097701F">
        <w:rPr>
          <w:rFonts w:ascii="Times New Roman" w:hAnsi="Times New Roman"/>
          <w:sz w:val="22"/>
          <w:szCs w:val="22"/>
        </w:rPr>
        <w:t xml:space="preserve">road </w:t>
      </w:r>
      <w:r w:rsidR="000C47EA">
        <w:rPr>
          <w:rFonts w:ascii="Times New Roman" w:hAnsi="Times New Roman"/>
          <w:sz w:val="22"/>
          <w:szCs w:val="22"/>
        </w:rPr>
        <w:t>range</w:t>
      </w:r>
      <w:r w:rsidR="000C47EA" w:rsidRPr="0097701F">
        <w:rPr>
          <w:rFonts w:ascii="Times New Roman" w:hAnsi="Times New Roman"/>
          <w:sz w:val="22"/>
          <w:szCs w:val="22"/>
        </w:rPr>
        <w:t xml:space="preserve"> </w:t>
      </w:r>
      <w:r w:rsidRPr="0097701F">
        <w:rPr>
          <w:rFonts w:ascii="Times New Roman" w:hAnsi="Times New Roman"/>
          <w:sz w:val="22"/>
          <w:szCs w:val="22"/>
        </w:rPr>
        <w:t xml:space="preserve">of </w:t>
      </w:r>
      <w:r w:rsidR="002F44D7">
        <w:rPr>
          <w:rFonts w:ascii="Times New Roman" w:hAnsi="Times New Roman"/>
          <w:sz w:val="22"/>
          <w:szCs w:val="22"/>
        </w:rPr>
        <w:t>micro-</w:t>
      </w:r>
      <w:r w:rsidRPr="0097701F">
        <w:rPr>
          <w:rFonts w:ascii="Times New Roman" w:hAnsi="Times New Roman"/>
          <w:sz w:val="22"/>
          <w:szCs w:val="22"/>
        </w:rPr>
        <w:t xml:space="preserve">flow analysis methods </w:t>
      </w:r>
      <w:r w:rsidR="000C47EA">
        <w:rPr>
          <w:rFonts w:ascii="Times New Roman" w:hAnsi="Times New Roman"/>
          <w:sz w:val="22"/>
          <w:szCs w:val="22"/>
        </w:rPr>
        <w:t xml:space="preserve">have already been </w:t>
      </w:r>
      <w:r w:rsidR="00F517B4">
        <w:rPr>
          <w:rFonts w:ascii="Times New Roman" w:hAnsi="Times New Roman"/>
          <w:sz w:val="22"/>
          <w:szCs w:val="22"/>
        </w:rPr>
        <w:t>developed using monoliths [3</w:t>
      </w:r>
      <w:r w:rsidRPr="0097701F">
        <w:rPr>
          <w:rFonts w:ascii="Times New Roman" w:hAnsi="Times New Roman"/>
          <w:sz w:val="22"/>
          <w:szCs w:val="22"/>
        </w:rPr>
        <w:t>].</w:t>
      </w:r>
    </w:p>
    <w:p w:rsidR="0097701F" w:rsidRDefault="0097701F" w:rsidP="0097701F">
      <w:pPr>
        <w:rPr>
          <w:rFonts w:ascii="Times New Roman" w:hAnsi="Times New Roman"/>
          <w:sz w:val="22"/>
          <w:szCs w:val="22"/>
        </w:rPr>
      </w:pPr>
      <w:r w:rsidRPr="0097701F">
        <w:rPr>
          <w:rFonts w:ascii="Times New Roman" w:hAnsi="Times New Roman"/>
          <w:sz w:val="22"/>
          <w:szCs w:val="22"/>
        </w:rPr>
        <w:t>Fundaments, overview, trends</w:t>
      </w:r>
      <w:r w:rsidR="000C47EA">
        <w:rPr>
          <w:rFonts w:ascii="Times New Roman" w:hAnsi="Times New Roman"/>
          <w:sz w:val="22"/>
          <w:szCs w:val="22"/>
        </w:rPr>
        <w:t>,</w:t>
      </w:r>
      <w:r w:rsidRPr="0097701F">
        <w:rPr>
          <w:rFonts w:ascii="Times New Roman" w:hAnsi="Times New Roman"/>
          <w:sz w:val="22"/>
          <w:szCs w:val="22"/>
        </w:rPr>
        <w:t xml:space="preserve"> and perspectives of monoliths in </w:t>
      </w:r>
      <w:r w:rsidR="002F44D7">
        <w:rPr>
          <w:rFonts w:ascii="Times New Roman" w:hAnsi="Times New Roman"/>
          <w:sz w:val="22"/>
          <w:szCs w:val="22"/>
        </w:rPr>
        <w:t>micro-</w:t>
      </w:r>
      <w:r w:rsidRPr="0097701F">
        <w:rPr>
          <w:rFonts w:ascii="Times New Roman" w:hAnsi="Times New Roman"/>
          <w:sz w:val="22"/>
          <w:szCs w:val="22"/>
        </w:rPr>
        <w:t xml:space="preserve">flow analysis </w:t>
      </w:r>
      <w:r w:rsidR="002F44D7">
        <w:rPr>
          <w:rFonts w:ascii="Times New Roman" w:hAnsi="Times New Roman"/>
          <w:sz w:val="22"/>
          <w:szCs w:val="22"/>
        </w:rPr>
        <w:t xml:space="preserve">will </w:t>
      </w:r>
      <w:r w:rsidRPr="0097701F">
        <w:rPr>
          <w:rFonts w:ascii="Times New Roman" w:hAnsi="Times New Roman"/>
          <w:sz w:val="22"/>
          <w:szCs w:val="22"/>
        </w:rPr>
        <w:t xml:space="preserve">be discussed. An overview of several </w:t>
      </w:r>
      <w:r w:rsidR="00F517B4">
        <w:rPr>
          <w:rFonts w:ascii="Times New Roman" w:hAnsi="Times New Roman"/>
          <w:sz w:val="22"/>
          <w:szCs w:val="22"/>
        </w:rPr>
        <w:t xml:space="preserve">recent </w:t>
      </w:r>
      <w:r w:rsidRPr="0097701F">
        <w:rPr>
          <w:rFonts w:ascii="Times New Roman" w:hAnsi="Times New Roman"/>
          <w:sz w:val="22"/>
          <w:szCs w:val="22"/>
        </w:rPr>
        <w:t xml:space="preserve">applications of the use of monolithic columns in </w:t>
      </w:r>
      <w:r w:rsidR="002F44D7">
        <w:rPr>
          <w:rFonts w:ascii="Times New Roman" w:hAnsi="Times New Roman"/>
          <w:sz w:val="22"/>
          <w:szCs w:val="22"/>
        </w:rPr>
        <w:t>micro-</w:t>
      </w:r>
      <w:r w:rsidRPr="0097701F">
        <w:rPr>
          <w:rFonts w:ascii="Times New Roman" w:hAnsi="Times New Roman"/>
          <w:sz w:val="22"/>
          <w:szCs w:val="22"/>
        </w:rPr>
        <w:t xml:space="preserve">flow techniques will </w:t>
      </w:r>
      <w:r w:rsidR="000C47EA">
        <w:rPr>
          <w:rFonts w:ascii="Times New Roman" w:hAnsi="Times New Roman"/>
          <w:sz w:val="22"/>
          <w:szCs w:val="22"/>
        </w:rPr>
        <w:t xml:space="preserve">also </w:t>
      </w:r>
      <w:r w:rsidRPr="0097701F">
        <w:rPr>
          <w:rFonts w:ascii="Times New Roman" w:hAnsi="Times New Roman"/>
          <w:sz w:val="22"/>
          <w:szCs w:val="22"/>
        </w:rPr>
        <w:t>be pointed out [4].</w:t>
      </w:r>
    </w:p>
    <w:p w:rsidR="00DD1332" w:rsidRPr="00265087" w:rsidRDefault="00DD1332" w:rsidP="00172035">
      <w:pPr>
        <w:rPr>
          <w:rFonts w:ascii="Times New Roman" w:hAnsi="Times New Roman"/>
          <w:sz w:val="22"/>
          <w:szCs w:val="22"/>
        </w:rPr>
      </w:pPr>
    </w:p>
    <w:p w:rsidR="00DD1332" w:rsidRPr="00265087" w:rsidRDefault="00DD1332" w:rsidP="00DD1332">
      <w:pPr>
        <w:jc w:val="left"/>
        <w:rPr>
          <w:rFonts w:ascii="Times New Roman" w:hAnsi="Times New Roman"/>
          <w:sz w:val="22"/>
          <w:szCs w:val="22"/>
        </w:rPr>
      </w:pPr>
      <w:r w:rsidRPr="00265087">
        <w:rPr>
          <w:rFonts w:ascii="Times New Roman" w:hAnsi="Times New Roman"/>
          <w:sz w:val="22"/>
          <w:szCs w:val="22"/>
        </w:rPr>
        <w:t>Acknowledgements:</w:t>
      </w:r>
    </w:p>
    <w:p w:rsidR="00764B5B" w:rsidRPr="00265087" w:rsidRDefault="0097701F" w:rsidP="0097701F">
      <w:pPr>
        <w:tabs>
          <w:tab w:val="left" w:pos="426"/>
        </w:tabs>
        <w:rPr>
          <w:rFonts w:ascii="Times New Roman" w:hAnsi="Times New Roman"/>
          <w:sz w:val="22"/>
          <w:szCs w:val="22"/>
        </w:rPr>
      </w:pPr>
      <w:r w:rsidRPr="0097701F">
        <w:rPr>
          <w:rFonts w:ascii="Times New Roman" w:hAnsi="Times New Roman"/>
          <w:sz w:val="22"/>
          <w:szCs w:val="22"/>
        </w:rPr>
        <w:t>This work was supported by the STARSS project (Reg. No. CZ.02.1.01/0.0/0.0/15_003/0000465) co-funded by ERDF.</w:t>
      </w:r>
    </w:p>
    <w:p w:rsidR="0097701F" w:rsidRDefault="0097701F" w:rsidP="00832F36">
      <w:pPr>
        <w:tabs>
          <w:tab w:val="left" w:pos="426"/>
        </w:tabs>
        <w:rPr>
          <w:rFonts w:ascii="Times New Roman" w:hAnsi="Times New Roman"/>
          <w:sz w:val="22"/>
          <w:szCs w:val="22"/>
        </w:rPr>
      </w:pPr>
    </w:p>
    <w:p w:rsidR="00265087" w:rsidRPr="00265087" w:rsidRDefault="00265087" w:rsidP="00832F36">
      <w:pPr>
        <w:tabs>
          <w:tab w:val="left" w:pos="426"/>
        </w:tabs>
        <w:rPr>
          <w:rFonts w:ascii="Times New Roman" w:hAnsi="Times New Roman"/>
          <w:sz w:val="22"/>
          <w:szCs w:val="22"/>
        </w:rPr>
      </w:pPr>
      <w:r w:rsidRPr="00265087">
        <w:rPr>
          <w:rFonts w:ascii="Times New Roman" w:hAnsi="Times New Roman"/>
          <w:sz w:val="22"/>
          <w:szCs w:val="22"/>
        </w:rPr>
        <w:t>References</w:t>
      </w:r>
      <w:r>
        <w:rPr>
          <w:rFonts w:ascii="Times New Roman" w:hAnsi="Times New Roman"/>
          <w:sz w:val="22"/>
          <w:szCs w:val="22"/>
        </w:rPr>
        <w:t>:</w:t>
      </w:r>
    </w:p>
    <w:p w:rsidR="0097701F" w:rsidRPr="0097701F" w:rsidRDefault="00F517B4" w:rsidP="0097701F">
      <w:pPr>
        <w:tabs>
          <w:tab w:val="left" w:pos="426"/>
        </w:tabs>
        <w:rPr>
          <w:rFonts w:ascii="Times New Roman" w:hAnsi="Times New Roman"/>
          <w:sz w:val="22"/>
          <w:szCs w:val="22"/>
          <w:shd w:val="clear" w:color="auto" w:fill="FFFFFF"/>
        </w:rPr>
      </w:pPr>
      <w:r>
        <w:rPr>
          <w:rFonts w:ascii="Times New Roman" w:hAnsi="Times New Roman"/>
          <w:sz w:val="22"/>
          <w:szCs w:val="22"/>
          <w:shd w:val="clear" w:color="auto" w:fill="FFFFFF"/>
        </w:rPr>
        <w:t>1</w:t>
      </w:r>
      <w:r w:rsidR="0097701F" w:rsidRPr="0097701F">
        <w:rPr>
          <w:rFonts w:ascii="Times New Roman" w:hAnsi="Times New Roman"/>
          <w:sz w:val="22"/>
          <w:szCs w:val="22"/>
          <w:shd w:val="clear" w:color="auto" w:fill="FFFFFF"/>
        </w:rPr>
        <w:t>. F. Švec, Y. Lv, Anal. Chem. 87 (2015) 250-273.</w:t>
      </w:r>
    </w:p>
    <w:p w:rsidR="0097701F" w:rsidRPr="0097701F" w:rsidRDefault="00F517B4" w:rsidP="0097701F">
      <w:pPr>
        <w:tabs>
          <w:tab w:val="left" w:pos="426"/>
        </w:tabs>
        <w:rPr>
          <w:rFonts w:ascii="Times New Roman" w:hAnsi="Times New Roman"/>
          <w:sz w:val="22"/>
          <w:szCs w:val="22"/>
          <w:shd w:val="clear" w:color="auto" w:fill="FFFFFF"/>
        </w:rPr>
      </w:pPr>
      <w:r>
        <w:rPr>
          <w:rFonts w:ascii="Times New Roman" w:hAnsi="Times New Roman"/>
          <w:sz w:val="22"/>
          <w:szCs w:val="22"/>
          <w:shd w:val="clear" w:color="auto" w:fill="FFFFFF"/>
        </w:rPr>
        <w:t>2</w:t>
      </w:r>
      <w:r w:rsidR="0097701F" w:rsidRPr="0097701F">
        <w:rPr>
          <w:rFonts w:ascii="Times New Roman" w:hAnsi="Times New Roman"/>
          <w:sz w:val="22"/>
          <w:szCs w:val="22"/>
          <w:shd w:val="clear" w:color="auto" w:fill="FFFFFF"/>
        </w:rPr>
        <w:t xml:space="preserve">. J.C. </w:t>
      </w:r>
      <w:proofErr w:type="spellStart"/>
      <w:r w:rsidR="0097701F" w:rsidRPr="0097701F">
        <w:rPr>
          <w:rFonts w:ascii="Times New Roman" w:hAnsi="Times New Roman"/>
          <w:sz w:val="22"/>
          <w:szCs w:val="22"/>
          <w:shd w:val="clear" w:color="auto" w:fill="FFFFFF"/>
        </w:rPr>
        <w:t>Masini</w:t>
      </w:r>
      <w:proofErr w:type="spellEnd"/>
      <w:r w:rsidR="0097701F" w:rsidRPr="0097701F">
        <w:rPr>
          <w:rFonts w:ascii="Times New Roman" w:hAnsi="Times New Roman"/>
          <w:sz w:val="22"/>
          <w:szCs w:val="22"/>
          <w:shd w:val="clear" w:color="auto" w:fill="FFFFFF"/>
        </w:rPr>
        <w:t>, F.</w:t>
      </w:r>
      <w:r>
        <w:rPr>
          <w:rFonts w:ascii="Times New Roman" w:hAnsi="Times New Roman"/>
          <w:sz w:val="22"/>
          <w:szCs w:val="22"/>
          <w:shd w:val="clear" w:color="auto" w:fill="FFFFFF"/>
        </w:rPr>
        <w:t xml:space="preserve"> </w:t>
      </w:r>
      <w:r w:rsidR="0097701F" w:rsidRPr="0097701F">
        <w:rPr>
          <w:rFonts w:ascii="Times New Roman" w:hAnsi="Times New Roman"/>
          <w:sz w:val="22"/>
          <w:szCs w:val="22"/>
          <w:shd w:val="clear" w:color="auto" w:fill="FFFFFF"/>
        </w:rPr>
        <w:t xml:space="preserve">Švec, Anal. </w:t>
      </w:r>
      <w:proofErr w:type="spellStart"/>
      <w:r w:rsidR="0097701F" w:rsidRPr="0097701F">
        <w:rPr>
          <w:rFonts w:ascii="Times New Roman" w:hAnsi="Times New Roman"/>
          <w:sz w:val="22"/>
          <w:szCs w:val="22"/>
          <w:shd w:val="clear" w:color="auto" w:fill="FFFFFF"/>
        </w:rPr>
        <w:t>Chim</w:t>
      </w:r>
      <w:proofErr w:type="spellEnd"/>
      <w:r w:rsidR="0097701F" w:rsidRPr="0097701F">
        <w:rPr>
          <w:rFonts w:ascii="Times New Roman" w:hAnsi="Times New Roman"/>
          <w:sz w:val="22"/>
          <w:szCs w:val="22"/>
          <w:shd w:val="clear" w:color="auto" w:fill="FFFFFF"/>
        </w:rPr>
        <w:t>. Acta 964 (2017) 24-44.</w:t>
      </w:r>
    </w:p>
    <w:p w:rsidR="00F517B4" w:rsidRPr="0097701F" w:rsidRDefault="00F517B4" w:rsidP="00F517B4">
      <w:pPr>
        <w:tabs>
          <w:tab w:val="left" w:pos="426"/>
        </w:tabs>
        <w:rPr>
          <w:rFonts w:ascii="Times New Roman" w:hAnsi="Times New Roman"/>
          <w:sz w:val="22"/>
          <w:szCs w:val="22"/>
          <w:shd w:val="clear" w:color="auto" w:fill="FFFFFF"/>
        </w:rPr>
      </w:pPr>
      <w:r>
        <w:rPr>
          <w:rFonts w:ascii="Times New Roman" w:hAnsi="Times New Roman"/>
          <w:sz w:val="22"/>
          <w:szCs w:val="22"/>
          <w:shd w:val="clear" w:color="auto" w:fill="FFFFFF"/>
        </w:rPr>
        <w:t>3</w:t>
      </w:r>
      <w:r w:rsidRPr="00265087">
        <w:rPr>
          <w:rFonts w:ascii="Times New Roman" w:hAnsi="Times New Roman"/>
          <w:sz w:val="22"/>
          <w:szCs w:val="22"/>
          <w:shd w:val="clear" w:color="auto" w:fill="FFFFFF"/>
        </w:rPr>
        <w:t xml:space="preserve">. </w:t>
      </w:r>
      <w:r w:rsidRPr="0097701F">
        <w:rPr>
          <w:rFonts w:ascii="Times New Roman" w:hAnsi="Times New Roman"/>
          <w:sz w:val="22"/>
          <w:szCs w:val="22"/>
          <w:shd w:val="clear" w:color="auto" w:fill="FFFFFF"/>
        </w:rPr>
        <w:t>S.</w:t>
      </w:r>
      <w:r>
        <w:rPr>
          <w:rFonts w:ascii="Times New Roman" w:hAnsi="Times New Roman"/>
          <w:sz w:val="22"/>
          <w:szCs w:val="22"/>
          <w:shd w:val="clear" w:color="auto" w:fill="FFFFFF"/>
        </w:rPr>
        <w:t xml:space="preserve"> </w:t>
      </w:r>
      <w:r w:rsidRPr="0097701F">
        <w:rPr>
          <w:rFonts w:ascii="Times New Roman" w:hAnsi="Times New Roman"/>
          <w:sz w:val="22"/>
          <w:szCs w:val="22"/>
          <w:shd w:val="clear" w:color="auto" w:fill="FFFFFF"/>
        </w:rPr>
        <w:t>Clavijo, J.</w:t>
      </w:r>
      <w:r>
        <w:rPr>
          <w:rFonts w:ascii="Times New Roman" w:hAnsi="Times New Roman"/>
          <w:sz w:val="22"/>
          <w:szCs w:val="22"/>
          <w:shd w:val="clear" w:color="auto" w:fill="FFFFFF"/>
        </w:rPr>
        <w:t xml:space="preserve"> </w:t>
      </w:r>
      <w:proofErr w:type="spellStart"/>
      <w:r w:rsidRPr="0097701F">
        <w:rPr>
          <w:rFonts w:ascii="Times New Roman" w:hAnsi="Times New Roman"/>
          <w:sz w:val="22"/>
          <w:szCs w:val="22"/>
          <w:shd w:val="clear" w:color="auto" w:fill="FFFFFF"/>
        </w:rPr>
        <w:t>Avivar</w:t>
      </w:r>
      <w:proofErr w:type="spellEnd"/>
      <w:r w:rsidRPr="0097701F">
        <w:rPr>
          <w:rFonts w:ascii="Times New Roman" w:hAnsi="Times New Roman"/>
          <w:sz w:val="22"/>
          <w:szCs w:val="22"/>
          <w:shd w:val="clear" w:color="auto" w:fill="FFFFFF"/>
        </w:rPr>
        <w:t>, R.</w:t>
      </w:r>
      <w:r>
        <w:rPr>
          <w:rFonts w:ascii="Times New Roman" w:hAnsi="Times New Roman"/>
          <w:sz w:val="22"/>
          <w:szCs w:val="22"/>
          <w:shd w:val="clear" w:color="auto" w:fill="FFFFFF"/>
        </w:rPr>
        <w:t xml:space="preserve"> </w:t>
      </w:r>
      <w:r w:rsidRPr="0097701F">
        <w:rPr>
          <w:rFonts w:ascii="Times New Roman" w:hAnsi="Times New Roman"/>
          <w:sz w:val="22"/>
          <w:szCs w:val="22"/>
          <w:shd w:val="clear" w:color="auto" w:fill="FFFFFF"/>
        </w:rPr>
        <w:t>Suárez, V.</w:t>
      </w:r>
      <w:r>
        <w:rPr>
          <w:rFonts w:ascii="Times New Roman" w:hAnsi="Times New Roman"/>
          <w:sz w:val="22"/>
          <w:szCs w:val="22"/>
          <w:shd w:val="clear" w:color="auto" w:fill="FFFFFF"/>
        </w:rPr>
        <w:t xml:space="preserve"> </w:t>
      </w:r>
      <w:r w:rsidRPr="0097701F">
        <w:rPr>
          <w:rFonts w:ascii="Times New Roman" w:hAnsi="Times New Roman"/>
          <w:sz w:val="22"/>
          <w:szCs w:val="22"/>
          <w:shd w:val="clear" w:color="auto" w:fill="FFFFFF"/>
        </w:rPr>
        <w:t>Cerdà, TRAC – Trends Anal. Chem. 67 (2015) 26-33.</w:t>
      </w:r>
    </w:p>
    <w:p w:rsidR="00265087" w:rsidRDefault="0097701F" w:rsidP="0097701F">
      <w:pPr>
        <w:tabs>
          <w:tab w:val="left" w:pos="426"/>
        </w:tabs>
        <w:rPr>
          <w:rFonts w:ascii="Times New Roman" w:hAnsi="Times New Roman"/>
          <w:sz w:val="22"/>
          <w:szCs w:val="22"/>
          <w:shd w:val="clear" w:color="auto" w:fill="FFFFFF"/>
        </w:rPr>
      </w:pPr>
      <w:r w:rsidRPr="0097701F">
        <w:rPr>
          <w:rFonts w:ascii="Times New Roman" w:hAnsi="Times New Roman"/>
          <w:sz w:val="22"/>
          <w:szCs w:val="22"/>
          <w:shd w:val="clear" w:color="auto" w:fill="FFFFFF"/>
        </w:rPr>
        <w:t>4. P.</w:t>
      </w:r>
      <w:r w:rsidR="00F517B4">
        <w:rPr>
          <w:rFonts w:ascii="Times New Roman" w:hAnsi="Times New Roman"/>
          <w:sz w:val="22"/>
          <w:szCs w:val="22"/>
          <w:shd w:val="clear" w:color="auto" w:fill="FFFFFF"/>
        </w:rPr>
        <w:t xml:space="preserve"> </w:t>
      </w:r>
      <w:r w:rsidRPr="0097701F">
        <w:rPr>
          <w:rFonts w:ascii="Times New Roman" w:hAnsi="Times New Roman"/>
          <w:sz w:val="22"/>
          <w:szCs w:val="22"/>
          <w:shd w:val="clear" w:color="auto" w:fill="FFFFFF"/>
        </w:rPr>
        <w:t>Chocholouš, L.</w:t>
      </w:r>
      <w:r w:rsidR="00F517B4">
        <w:rPr>
          <w:rFonts w:ascii="Times New Roman" w:hAnsi="Times New Roman"/>
          <w:sz w:val="22"/>
          <w:szCs w:val="22"/>
          <w:shd w:val="clear" w:color="auto" w:fill="FFFFFF"/>
        </w:rPr>
        <w:t xml:space="preserve"> </w:t>
      </w:r>
      <w:proofErr w:type="spellStart"/>
      <w:r w:rsidRPr="0097701F">
        <w:rPr>
          <w:rFonts w:ascii="Times New Roman" w:hAnsi="Times New Roman"/>
          <w:sz w:val="22"/>
          <w:szCs w:val="22"/>
          <w:shd w:val="clear" w:color="auto" w:fill="FFFFFF"/>
        </w:rPr>
        <w:t>Dědková</w:t>
      </w:r>
      <w:proofErr w:type="spellEnd"/>
      <w:r w:rsidRPr="0097701F">
        <w:rPr>
          <w:rFonts w:ascii="Times New Roman" w:hAnsi="Times New Roman"/>
          <w:sz w:val="22"/>
          <w:szCs w:val="22"/>
          <w:shd w:val="clear" w:color="auto" w:fill="FFFFFF"/>
        </w:rPr>
        <w:t>, T.</w:t>
      </w:r>
      <w:r w:rsidR="00F517B4">
        <w:rPr>
          <w:rFonts w:ascii="Times New Roman" w:hAnsi="Times New Roman"/>
          <w:sz w:val="22"/>
          <w:szCs w:val="22"/>
          <w:shd w:val="clear" w:color="auto" w:fill="FFFFFF"/>
        </w:rPr>
        <w:t xml:space="preserve"> </w:t>
      </w:r>
      <w:proofErr w:type="spellStart"/>
      <w:r w:rsidRPr="0097701F">
        <w:rPr>
          <w:rFonts w:ascii="Times New Roman" w:hAnsi="Times New Roman"/>
          <w:sz w:val="22"/>
          <w:szCs w:val="22"/>
          <w:shd w:val="clear" w:color="auto" w:fill="FFFFFF"/>
        </w:rPr>
        <w:t>Boháčová</w:t>
      </w:r>
      <w:proofErr w:type="spellEnd"/>
      <w:r w:rsidRPr="0097701F">
        <w:rPr>
          <w:rFonts w:ascii="Times New Roman" w:hAnsi="Times New Roman"/>
          <w:sz w:val="22"/>
          <w:szCs w:val="22"/>
          <w:shd w:val="clear" w:color="auto" w:fill="FFFFFF"/>
        </w:rPr>
        <w:t>, D.Š</w:t>
      </w:r>
      <w:r w:rsidR="00F517B4">
        <w:rPr>
          <w:rFonts w:ascii="Times New Roman" w:hAnsi="Times New Roman"/>
          <w:sz w:val="22"/>
          <w:szCs w:val="22"/>
          <w:shd w:val="clear" w:color="auto" w:fill="FFFFFF"/>
        </w:rPr>
        <w:t xml:space="preserve"> </w:t>
      </w:r>
      <w:proofErr w:type="spellStart"/>
      <w:r w:rsidRPr="0097701F">
        <w:rPr>
          <w:rFonts w:ascii="Times New Roman" w:hAnsi="Times New Roman"/>
          <w:sz w:val="22"/>
          <w:szCs w:val="22"/>
          <w:shd w:val="clear" w:color="auto" w:fill="FFFFFF"/>
        </w:rPr>
        <w:t>atínský</w:t>
      </w:r>
      <w:proofErr w:type="spellEnd"/>
      <w:r w:rsidRPr="0097701F">
        <w:rPr>
          <w:rFonts w:ascii="Times New Roman" w:hAnsi="Times New Roman"/>
          <w:sz w:val="22"/>
          <w:szCs w:val="22"/>
          <w:shd w:val="clear" w:color="auto" w:fill="FFFFFF"/>
        </w:rPr>
        <w:t>, P.</w:t>
      </w:r>
      <w:r w:rsidR="00F517B4">
        <w:rPr>
          <w:rFonts w:ascii="Times New Roman" w:hAnsi="Times New Roman"/>
          <w:sz w:val="22"/>
          <w:szCs w:val="22"/>
          <w:shd w:val="clear" w:color="auto" w:fill="FFFFFF"/>
        </w:rPr>
        <w:t xml:space="preserve"> </w:t>
      </w:r>
      <w:r w:rsidRPr="0097701F">
        <w:rPr>
          <w:rFonts w:ascii="Times New Roman" w:hAnsi="Times New Roman"/>
          <w:sz w:val="22"/>
          <w:szCs w:val="22"/>
          <w:shd w:val="clear" w:color="auto" w:fill="FFFFFF"/>
        </w:rPr>
        <w:t xml:space="preserve">Solich, </w:t>
      </w:r>
      <w:proofErr w:type="spellStart"/>
      <w:r w:rsidRPr="0097701F">
        <w:rPr>
          <w:rFonts w:ascii="Times New Roman" w:hAnsi="Times New Roman"/>
          <w:sz w:val="22"/>
          <w:szCs w:val="22"/>
          <w:shd w:val="clear" w:color="auto" w:fill="FFFFFF"/>
        </w:rPr>
        <w:t>Microchem</w:t>
      </w:r>
      <w:proofErr w:type="spellEnd"/>
      <w:r w:rsidRPr="0097701F">
        <w:rPr>
          <w:rFonts w:ascii="Times New Roman" w:hAnsi="Times New Roman"/>
          <w:sz w:val="22"/>
          <w:szCs w:val="22"/>
          <w:shd w:val="clear" w:color="auto" w:fill="FFFFFF"/>
        </w:rPr>
        <w:t>. J. 130 (2017) 384-389.</w:t>
      </w:r>
    </w:p>
    <w:p w:rsidR="0097701F" w:rsidRPr="00265087" w:rsidRDefault="0097701F" w:rsidP="00832F36">
      <w:pPr>
        <w:tabs>
          <w:tab w:val="left" w:pos="426"/>
        </w:tabs>
        <w:rPr>
          <w:rFonts w:ascii="Times New Roman" w:hAnsi="Times New Roman"/>
          <w:sz w:val="22"/>
          <w:szCs w:val="22"/>
        </w:rPr>
      </w:pPr>
    </w:p>
    <w:p w:rsidR="00265087" w:rsidRPr="00265087" w:rsidRDefault="00265087" w:rsidP="00832F36">
      <w:pPr>
        <w:tabs>
          <w:tab w:val="left" w:pos="426"/>
        </w:tabs>
        <w:rPr>
          <w:rFonts w:ascii="Times New Roman" w:hAnsi="Times New Roman"/>
          <w:sz w:val="22"/>
          <w:szCs w:val="22"/>
        </w:rPr>
      </w:pPr>
    </w:p>
    <w:sectPr w:rsidR="00265087" w:rsidRPr="00265087" w:rsidSect="00265087">
      <w:pgSz w:w="11906" w:h="16838" w:code="9"/>
      <w:pgMar w:top="1134" w:right="850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B2C58" w:rsidRDefault="005B2C58" w:rsidP="00DD39BB">
      <w:r>
        <w:separator/>
      </w:r>
    </w:p>
  </w:endnote>
  <w:endnote w:type="continuationSeparator" w:id="0">
    <w:p w:rsidR="005B2C58" w:rsidRDefault="005B2C58" w:rsidP="00DD39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B2C58" w:rsidRDefault="005B2C58" w:rsidP="00DD39BB">
      <w:r>
        <w:separator/>
      </w:r>
    </w:p>
  </w:footnote>
  <w:footnote w:type="continuationSeparator" w:id="0">
    <w:p w:rsidR="005B2C58" w:rsidRDefault="005B2C58" w:rsidP="00DD39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C1868FA"/>
    <w:multiLevelType w:val="hybridMultilevel"/>
    <w:tmpl w:val="CD1644BC"/>
    <w:lvl w:ilvl="0" w:tplc="1338C59E">
      <w:start w:val="5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eastAsia="MS Mincho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hyphenationZone w:val="425"/>
  <w:drawingGridHorizontalSpacing w:val="105"/>
  <w:displayHorizontalDrawingGridEvery w:val="0"/>
  <w:displayVerticalDrawingGridEvery w:val="2"/>
  <w:characterSpacingControl w:val="compressPunctuation"/>
  <w:savePreviewPictur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9DD"/>
    <w:rsid w:val="00046613"/>
    <w:rsid w:val="0009714F"/>
    <w:rsid w:val="000A47FD"/>
    <w:rsid w:val="000C47EA"/>
    <w:rsid w:val="000D1A07"/>
    <w:rsid w:val="000D3D1B"/>
    <w:rsid w:val="000E0386"/>
    <w:rsid w:val="0010124D"/>
    <w:rsid w:val="00104302"/>
    <w:rsid w:val="001520EF"/>
    <w:rsid w:val="00172035"/>
    <w:rsid w:val="001C7E45"/>
    <w:rsid w:val="001F2825"/>
    <w:rsid w:val="00216437"/>
    <w:rsid w:val="002337C8"/>
    <w:rsid w:val="00265087"/>
    <w:rsid w:val="002A0046"/>
    <w:rsid w:val="002D43A0"/>
    <w:rsid w:val="002E212C"/>
    <w:rsid w:val="002F44D7"/>
    <w:rsid w:val="0031188C"/>
    <w:rsid w:val="003330B7"/>
    <w:rsid w:val="00422ECE"/>
    <w:rsid w:val="00427C21"/>
    <w:rsid w:val="004927DC"/>
    <w:rsid w:val="004B2E44"/>
    <w:rsid w:val="005426B7"/>
    <w:rsid w:val="0056349C"/>
    <w:rsid w:val="00583949"/>
    <w:rsid w:val="005A0484"/>
    <w:rsid w:val="005B2C58"/>
    <w:rsid w:val="005B7CB1"/>
    <w:rsid w:val="006057AB"/>
    <w:rsid w:val="006368AA"/>
    <w:rsid w:val="00651E80"/>
    <w:rsid w:val="00663D40"/>
    <w:rsid w:val="006D332F"/>
    <w:rsid w:val="006F02C5"/>
    <w:rsid w:val="007027ED"/>
    <w:rsid w:val="00764B5B"/>
    <w:rsid w:val="007721D7"/>
    <w:rsid w:val="00772325"/>
    <w:rsid w:val="007D576D"/>
    <w:rsid w:val="007F1D72"/>
    <w:rsid w:val="00832F36"/>
    <w:rsid w:val="008469B3"/>
    <w:rsid w:val="008707AF"/>
    <w:rsid w:val="008F62A8"/>
    <w:rsid w:val="00963367"/>
    <w:rsid w:val="0097701F"/>
    <w:rsid w:val="00977A3F"/>
    <w:rsid w:val="009F17BA"/>
    <w:rsid w:val="009F39C0"/>
    <w:rsid w:val="00A049BF"/>
    <w:rsid w:val="00A32558"/>
    <w:rsid w:val="00A411C7"/>
    <w:rsid w:val="00AA0709"/>
    <w:rsid w:val="00AA2910"/>
    <w:rsid w:val="00AA4BDB"/>
    <w:rsid w:val="00AE5ACE"/>
    <w:rsid w:val="00B50CCE"/>
    <w:rsid w:val="00B72417"/>
    <w:rsid w:val="00B727D9"/>
    <w:rsid w:val="00BA49DA"/>
    <w:rsid w:val="00BB5BB9"/>
    <w:rsid w:val="00BC2A4E"/>
    <w:rsid w:val="00C27A90"/>
    <w:rsid w:val="00C70D84"/>
    <w:rsid w:val="00C75D07"/>
    <w:rsid w:val="00C8064D"/>
    <w:rsid w:val="00C8257D"/>
    <w:rsid w:val="00C8633B"/>
    <w:rsid w:val="00C9302B"/>
    <w:rsid w:val="00CF1375"/>
    <w:rsid w:val="00D4402E"/>
    <w:rsid w:val="00DD1332"/>
    <w:rsid w:val="00DD39BB"/>
    <w:rsid w:val="00E12584"/>
    <w:rsid w:val="00E20E42"/>
    <w:rsid w:val="00E342B8"/>
    <w:rsid w:val="00EB72CD"/>
    <w:rsid w:val="00ED2B83"/>
    <w:rsid w:val="00EE0C40"/>
    <w:rsid w:val="00F517B4"/>
    <w:rsid w:val="00FA2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948623A3-3647-430F-8159-14471802B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MS Mincho" w:hAnsi="Century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FA29DD"/>
    <w:pPr>
      <w:widowControl w:val="0"/>
      <w:jc w:val="both"/>
    </w:pPr>
    <w:rPr>
      <w:kern w:val="2"/>
      <w:sz w:val="21"/>
      <w:szCs w:val="24"/>
      <w:lang w:val="en-US" w:eastAsia="ja-JP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rsid w:val="00FA29DD"/>
    <w:rPr>
      <w:rFonts w:cs="Times New Roman"/>
      <w:color w:val="0000FF"/>
      <w:u w:val="single"/>
    </w:rPr>
  </w:style>
  <w:style w:type="paragraph" w:styleId="Zhlav">
    <w:name w:val="header"/>
    <w:basedOn w:val="Normln"/>
    <w:link w:val="ZhlavChar"/>
    <w:uiPriority w:val="99"/>
    <w:rsid w:val="00DD39BB"/>
    <w:pPr>
      <w:tabs>
        <w:tab w:val="center" w:pos="4252"/>
        <w:tab w:val="right" w:pos="8504"/>
      </w:tabs>
      <w:snapToGrid w:val="0"/>
    </w:pPr>
    <w:rPr>
      <w:lang w:val="ru-RU" w:eastAsia="cs-CZ"/>
    </w:rPr>
  </w:style>
  <w:style w:type="character" w:customStyle="1" w:styleId="ZhlavChar">
    <w:name w:val="Záhlaví Char"/>
    <w:basedOn w:val="Standardnpsmoodstavce"/>
    <w:link w:val="Zhlav"/>
    <w:uiPriority w:val="99"/>
    <w:locked/>
    <w:rsid w:val="00DD39BB"/>
    <w:rPr>
      <w:rFonts w:cs="Times New Roman"/>
      <w:kern w:val="2"/>
      <w:sz w:val="24"/>
    </w:rPr>
  </w:style>
  <w:style w:type="character" w:customStyle="1" w:styleId="ZpatChar">
    <w:name w:val="Zápatí Char"/>
    <w:basedOn w:val="Standardnpsmoodstavce"/>
    <w:link w:val="Zpat"/>
    <w:uiPriority w:val="99"/>
    <w:locked/>
    <w:rsid w:val="00DD39BB"/>
    <w:rPr>
      <w:rFonts w:cs="Times New Roman"/>
      <w:kern w:val="2"/>
      <w:sz w:val="24"/>
    </w:rPr>
  </w:style>
  <w:style w:type="paragraph" w:styleId="Zpat">
    <w:name w:val="footer"/>
    <w:basedOn w:val="Normln"/>
    <w:link w:val="ZpatChar"/>
    <w:uiPriority w:val="99"/>
    <w:rsid w:val="00DD39BB"/>
    <w:pPr>
      <w:tabs>
        <w:tab w:val="center" w:pos="4252"/>
        <w:tab w:val="right" w:pos="8504"/>
      </w:tabs>
      <w:snapToGrid w:val="0"/>
    </w:pPr>
    <w:rPr>
      <w:lang w:val="ru-RU" w:eastAsia="cs-CZ"/>
    </w:rPr>
  </w:style>
  <w:style w:type="character" w:customStyle="1" w:styleId="ZpatChar1">
    <w:name w:val="Zápatí Char1"/>
    <w:basedOn w:val="Standardnpsmoodstavce"/>
    <w:uiPriority w:val="99"/>
    <w:semiHidden/>
    <w:rPr>
      <w:kern w:val="2"/>
      <w:sz w:val="21"/>
      <w:szCs w:val="24"/>
      <w:lang w:val="en-US" w:eastAsia="ja-JP"/>
    </w:rPr>
  </w:style>
  <w:style w:type="paragraph" w:styleId="Textbubliny">
    <w:name w:val="Balloon Text"/>
    <w:basedOn w:val="Normln"/>
    <w:link w:val="TextbublinyChar"/>
    <w:rsid w:val="002F44D7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rsid w:val="002F44D7"/>
    <w:rPr>
      <w:rFonts w:ascii="Segoe UI" w:hAnsi="Segoe UI" w:cs="Segoe UI"/>
      <w:kern w:val="2"/>
      <w:sz w:val="18"/>
      <w:szCs w:val="18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311</Words>
  <Characters>1945</Characters>
  <Application>Microsoft Office Word</Application>
  <DocSecurity>4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Abstract Form</vt:lpstr>
    </vt:vector>
  </TitlesOfParts>
  <Company>Microsoft</Company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Abstract Form</dc:title>
  <dc:subject/>
  <dc:creator>長谷川拓也</dc:creator>
  <cp:keywords/>
  <dc:description/>
  <cp:lastModifiedBy>Petr Solich</cp:lastModifiedBy>
  <cp:revision>2</cp:revision>
  <cp:lastPrinted>2008-04-16T07:47:00Z</cp:lastPrinted>
  <dcterms:created xsi:type="dcterms:W3CDTF">2019-11-04T14:00:00Z</dcterms:created>
  <dcterms:modified xsi:type="dcterms:W3CDTF">2019-11-04T14:00:00Z</dcterms:modified>
</cp:coreProperties>
</file>