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3D1C" w:rsidRDefault="00C57845" w:rsidP="00C57845">
      <w:pPr>
        <w:jc w:val="center"/>
        <w:rPr>
          <w:rFonts w:ascii="Times New Roman" w:hAnsi="Times New Roman" w:cs="Times New Roman"/>
          <w:b/>
          <w:color w:val="221E1F"/>
          <w:sz w:val="24"/>
          <w:szCs w:val="24"/>
        </w:rPr>
      </w:pPr>
      <w:r w:rsidRPr="00C57845">
        <w:rPr>
          <w:rFonts w:ascii="Times New Roman" w:hAnsi="Times New Roman" w:cs="Times New Roman"/>
          <w:b/>
          <w:color w:val="221E1F"/>
          <w:sz w:val="24"/>
          <w:szCs w:val="24"/>
        </w:rPr>
        <w:t xml:space="preserve">Novel </w:t>
      </w:r>
      <w:proofErr w:type="spellStart"/>
      <w:r w:rsidRPr="00C57845">
        <w:rPr>
          <w:rFonts w:ascii="Times New Roman" w:hAnsi="Times New Roman" w:cs="Times New Roman"/>
          <w:b/>
          <w:color w:val="221E1F"/>
          <w:sz w:val="24"/>
          <w:szCs w:val="24"/>
        </w:rPr>
        <w:t>electrosprayed</w:t>
      </w:r>
      <w:proofErr w:type="spellEnd"/>
      <w:r w:rsidRPr="00C57845">
        <w:rPr>
          <w:rFonts w:ascii="Times New Roman" w:hAnsi="Times New Roman" w:cs="Times New Roman"/>
          <w:b/>
          <w:color w:val="221E1F"/>
          <w:sz w:val="24"/>
          <w:szCs w:val="24"/>
        </w:rPr>
        <w:t xml:space="preserve"> </w:t>
      </w:r>
      <w:proofErr w:type="spellStart"/>
      <w:r w:rsidRPr="00C57845">
        <w:rPr>
          <w:rFonts w:ascii="Times New Roman" w:hAnsi="Times New Roman" w:cs="Times New Roman"/>
          <w:b/>
          <w:color w:val="221E1F"/>
          <w:sz w:val="24"/>
          <w:szCs w:val="24"/>
        </w:rPr>
        <w:t>nanospherules</w:t>
      </w:r>
      <w:proofErr w:type="spellEnd"/>
      <w:r w:rsidRPr="00C57845">
        <w:rPr>
          <w:rFonts w:ascii="Times New Roman" w:hAnsi="Times New Roman" w:cs="Times New Roman"/>
          <w:b/>
          <w:color w:val="221E1F"/>
          <w:sz w:val="24"/>
          <w:szCs w:val="24"/>
        </w:rPr>
        <w:t xml:space="preserve"> for enhanced aqueous solubility and oral bioavailability of poorly water-soluble </w:t>
      </w:r>
      <w:proofErr w:type="spellStart"/>
      <w:r w:rsidRPr="00C57845">
        <w:rPr>
          <w:rFonts w:ascii="Times New Roman" w:hAnsi="Times New Roman" w:cs="Times New Roman"/>
          <w:b/>
          <w:color w:val="221E1F"/>
          <w:sz w:val="24"/>
          <w:szCs w:val="24"/>
        </w:rPr>
        <w:t>fenofibrate</w:t>
      </w:r>
      <w:proofErr w:type="spellEnd"/>
    </w:p>
    <w:p w:rsidR="00C57845" w:rsidRPr="00DF4326" w:rsidRDefault="00C57845" w:rsidP="00D8657E">
      <w:pPr>
        <w:rPr>
          <w:rFonts w:ascii="Times New Roman"/>
          <w:color w:val="000000" w:themeColor="text1"/>
          <w:sz w:val="22"/>
        </w:rPr>
      </w:pPr>
    </w:p>
    <w:p w:rsidR="00C57845" w:rsidRDefault="00C57845" w:rsidP="00C57845">
      <w:pPr>
        <w:pStyle w:val="Default"/>
      </w:pPr>
    </w:p>
    <w:p w:rsidR="00C57845" w:rsidRPr="00C57845" w:rsidRDefault="00C57845" w:rsidP="00C57845">
      <w:pPr>
        <w:pStyle w:val="Pa11"/>
        <w:jc w:val="both"/>
        <w:rPr>
          <w:rFonts w:ascii="Times New Roman" w:eastAsia="Times New Roman PS" w:hAnsi="Times New Roman" w:cs="Times New Roman"/>
          <w:color w:val="221E1F"/>
        </w:rPr>
      </w:pPr>
      <w:r w:rsidRPr="00C57845">
        <w:rPr>
          <w:rFonts w:ascii="Times New Roman" w:eastAsia="Times New Roman PS" w:hAnsi="Times New Roman" w:cs="Times New Roman"/>
          <w:color w:val="221E1F"/>
        </w:rPr>
        <w:t xml:space="preserve">The purpose of the present research was to develop a novel </w:t>
      </w:r>
      <w:proofErr w:type="spellStart"/>
      <w:r w:rsidRPr="00C57845">
        <w:rPr>
          <w:rFonts w:ascii="Times New Roman" w:eastAsia="Times New Roman PS" w:hAnsi="Times New Roman" w:cs="Times New Roman"/>
          <w:color w:val="221E1F"/>
        </w:rPr>
        <w:t>electrosprayed</w:t>
      </w:r>
      <w:proofErr w:type="spellEnd"/>
      <w:r w:rsidRPr="00C57845">
        <w:rPr>
          <w:rFonts w:ascii="Times New Roman" w:eastAsia="Times New Roman PS" w:hAnsi="Times New Roman" w:cs="Times New Roman"/>
          <w:color w:val="221E1F"/>
        </w:rPr>
        <w:t xml:space="preserve"> </w:t>
      </w:r>
      <w:proofErr w:type="spellStart"/>
      <w:r w:rsidRPr="00C57845">
        <w:rPr>
          <w:rFonts w:ascii="Times New Roman" w:eastAsia="Times New Roman PS" w:hAnsi="Times New Roman" w:cs="Times New Roman"/>
          <w:color w:val="221E1F"/>
        </w:rPr>
        <w:t>nanospherule</w:t>
      </w:r>
      <w:proofErr w:type="spellEnd"/>
      <w:r w:rsidRPr="00C57845">
        <w:rPr>
          <w:rFonts w:ascii="Times New Roman" w:eastAsia="Times New Roman PS" w:hAnsi="Times New Roman" w:cs="Times New Roman"/>
          <w:color w:val="221E1F"/>
        </w:rPr>
        <w:t xml:space="preserve"> providing the most optimized aqueous solubility and oral bioavailability for poorly water-soluble </w:t>
      </w:r>
      <w:proofErr w:type="spellStart"/>
      <w:r w:rsidRPr="00C57845">
        <w:rPr>
          <w:rFonts w:ascii="Times New Roman" w:eastAsia="Times New Roman PS" w:hAnsi="Times New Roman" w:cs="Times New Roman"/>
          <w:color w:val="221E1F"/>
        </w:rPr>
        <w:t>fenofibrate</w:t>
      </w:r>
      <w:proofErr w:type="spellEnd"/>
      <w:r w:rsidRPr="00C57845">
        <w:rPr>
          <w:rFonts w:ascii="Times New Roman" w:eastAsia="Times New Roman PS" w:hAnsi="Times New Roman" w:cs="Times New Roman"/>
          <w:color w:val="221E1F"/>
        </w:rPr>
        <w:t>.</w:t>
      </w:r>
      <w:r w:rsidR="00D260BC">
        <w:rPr>
          <w:rFonts w:ascii="Times New Roman" w:eastAsia="Times New Roman PS" w:hAnsi="Times New Roman" w:cs="Times New Roman"/>
          <w:color w:val="221E1F"/>
        </w:rPr>
        <w:t xml:space="preserve"> </w:t>
      </w:r>
      <w:r w:rsidRPr="00C57845">
        <w:rPr>
          <w:rFonts w:ascii="Times New Roman" w:eastAsia="Times New Roman PS" w:hAnsi="Times New Roman" w:cs="Times New Roman"/>
          <w:color w:val="221E1F"/>
        </w:rPr>
        <w:t xml:space="preserve">Numerous </w:t>
      </w:r>
      <w:proofErr w:type="spellStart"/>
      <w:r w:rsidRPr="00C57845">
        <w:rPr>
          <w:rFonts w:ascii="Times New Roman" w:eastAsia="Times New Roman PS" w:hAnsi="Times New Roman" w:cs="Times New Roman"/>
          <w:color w:val="221E1F"/>
        </w:rPr>
        <w:t>fenofibrate</w:t>
      </w:r>
      <w:proofErr w:type="spellEnd"/>
      <w:r w:rsidRPr="00C57845">
        <w:rPr>
          <w:rFonts w:ascii="Times New Roman" w:eastAsia="Times New Roman PS" w:hAnsi="Times New Roman" w:cs="Times New Roman"/>
          <w:color w:val="221E1F"/>
        </w:rPr>
        <w:t xml:space="preserve">-loaded </w:t>
      </w:r>
      <w:proofErr w:type="spellStart"/>
      <w:r w:rsidRPr="00C57845">
        <w:rPr>
          <w:rFonts w:ascii="Times New Roman" w:eastAsia="Times New Roman PS" w:hAnsi="Times New Roman" w:cs="Times New Roman"/>
          <w:color w:val="221E1F"/>
        </w:rPr>
        <w:t>electrosprayed</w:t>
      </w:r>
      <w:proofErr w:type="spellEnd"/>
      <w:r w:rsidRPr="00C57845">
        <w:rPr>
          <w:rFonts w:ascii="Times New Roman" w:eastAsia="Times New Roman PS" w:hAnsi="Times New Roman" w:cs="Times New Roman"/>
          <w:color w:val="221E1F"/>
        </w:rPr>
        <w:t xml:space="preserve"> </w:t>
      </w:r>
      <w:proofErr w:type="spellStart"/>
      <w:r w:rsidRPr="00C57845">
        <w:rPr>
          <w:rFonts w:ascii="Times New Roman" w:eastAsia="Times New Roman PS" w:hAnsi="Times New Roman" w:cs="Times New Roman"/>
          <w:color w:val="221E1F"/>
        </w:rPr>
        <w:t>nanospherules</w:t>
      </w:r>
      <w:proofErr w:type="spellEnd"/>
      <w:r w:rsidRPr="00C57845">
        <w:rPr>
          <w:rFonts w:ascii="Times New Roman" w:eastAsia="Times New Roman PS" w:hAnsi="Times New Roman" w:cs="Times New Roman"/>
          <w:color w:val="221E1F"/>
        </w:rPr>
        <w:t xml:space="preserve"> were prepared with </w:t>
      </w:r>
      <w:proofErr w:type="spellStart"/>
      <w:r w:rsidRPr="00C57845">
        <w:rPr>
          <w:rFonts w:ascii="Times New Roman" w:eastAsia="Times New Roman PS" w:hAnsi="Times New Roman" w:cs="Times New Roman"/>
          <w:color w:val="221E1F"/>
        </w:rPr>
        <w:t>polyvinylpyrrolidone</w:t>
      </w:r>
      <w:proofErr w:type="spellEnd"/>
      <w:r w:rsidRPr="00C57845">
        <w:rPr>
          <w:rFonts w:ascii="Times New Roman" w:eastAsia="Times New Roman PS" w:hAnsi="Times New Roman" w:cs="Times New Roman"/>
          <w:color w:val="221E1F"/>
        </w:rPr>
        <w:t xml:space="preserve"> (PVP) and </w:t>
      </w:r>
      <w:proofErr w:type="spellStart"/>
      <w:r w:rsidRPr="00C57845">
        <w:rPr>
          <w:rFonts w:ascii="Times New Roman" w:eastAsia="Times New Roman PS" w:hAnsi="Times New Roman" w:cs="Times New Roman"/>
          <w:color w:val="221E1F"/>
        </w:rPr>
        <w:t>Labrafil</w:t>
      </w:r>
      <w:proofErr w:type="spellEnd"/>
      <w:r w:rsidRPr="00C57845">
        <w:rPr>
          <w:rFonts w:ascii="Times New Roman" w:eastAsia="Times New Roman PS" w:hAnsi="Times New Roman" w:cs="Times New Roman"/>
          <w:color w:val="221E1F"/>
          <w:position w:val="6"/>
          <w:vertAlign w:val="superscript"/>
        </w:rPr>
        <w:t xml:space="preserve">® </w:t>
      </w:r>
      <w:r w:rsidRPr="00C57845">
        <w:rPr>
          <w:rFonts w:ascii="Times New Roman" w:eastAsia="Times New Roman PS" w:hAnsi="Times New Roman" w:cs="Times New Roman"/>
          <w:color w:val="221E1F"/>
        </w:rPr>
        <w:t xml:space="preserve">M 2125 as carriers using the electrospray technique, and the effect of the carriers on drug solubility and solvation was assessed. The solid state characterization of an optimized formulation was conducted by scanning electron </w:t>
      </w:r>
      <w:proofErr w:type="gramStart"/>
      <w:r w:rsidRPr="00C57845">
        <w:rPr>
          <w:rFonts w:ascii="Times New Roman" w:eastAsia="Times New Roman PS" w:hAnsi="Times New Roman" w:cs="Times New Roman"/>
          <w:color w:val="221E1F"/>
        </w:rPr>
        <w:t>microscopy,</w:t>
      </w:r>
      <w:proofErr w:type="gramEnd"/>
      <w:r w:rsidRPr="00C57845">
        <w:rPr>
          <w:rFonts w:ascii="Times New Roman" w:eastAsia="Times New Roman PS" w:hAnsi="Times New Roman" w:cs="Times New Roman"/>
          <w:color w:val="221E1F"/>
        </w:rPr>
        <w:t xml:space="preserve"> powder X-ray diffraction, differential scanning calorimetry, and Fourier transform infrared spectroscopic analyses. Oral bioavailability in rats was also evaluated for the formulation of an optimized </w:t>
      </w:r>
      <w:proofErr w:type="spellStart"/>
      <w:r w:rsidRPr="00C57845">
        <w:rPr>
          <w:rFonts w:ascii="Times New Roman" w:eastAsia="Times New Roman PS" w:hAnsi="Times New Roman" w:cs="Times New Roman"/>
          <w:color w:val="221E1F"/>
        </w:rPr>
        <w:t>nanospherule</w:t>
      </w:r>
      <w:proofErr w:type="spellEnd"/>
      <w:r w:rsidRPr="00C57845">
        <w:rPr>
          <w:rFonts w:ascii="Times New Roman" w:eastAsia="Times New Roman PS" w:hAnsi="Times New Roman" w:cs="Times New Roman"/>
          <w:color w:val="221E1F"/>
        </w:rPr>
        <w:t xml:space="preserve"> in comparison with free drug and a conventional </w:t>
      </w:r>
      <w:proofErr w:type="spellStart"/>
      <w:r w:rsidRPr="00C57845">
        <w:rPr>
          <w:rFonts w:ascii="Times New Roman" w:eastAsia="Times New Roman PS" w:hAnsi="Times New Roman" w:cs="Times New Roman"/>
          <w:color w:val="221E1F"/>
        </w:rPr>
        <w:t>fenofibrate</w:t>
      </w:r>
      <w:proofErr w:type="spellEnd"/>
      <w:r w:rsidRPr="00C57845">
        <w:rPr>
          <w:rFonts w:ascii="Times New Roman" w:eastAsia="Times New Roman PS" w:hAnsi="Times New Roman" w:cs="Times New Roman"/>
          <w:color w:val="221E1F"/>
        </w:rPr>
        <w:t>-loaded solid dispersion.</w:t>
      </w:r>
      <w:r w:rsidR="00D260BC">
        <w:rPr>
          <w:rFonts w:ascii="Times New Roman" w:eastAsia="Times New Roman PS" w:hAnsi="Times New Roman" w:cs="Times New Roman" w:hint="eastAsia"/>
          <w:color w:val="221E1F"/>
        </w:rPr>
        <w:t xml:space="preserve"> </w:t>
      </w:r>
      <w:r w:rsidRPr="00C57845">
        <w:rPr>
          <w:rFonts w:ascii="Times New Roman" w:eastAsia="Times New Roman PS" w:hAnsi="Times New Roman" w:cs="Times New Roman"/>
          <w:color w:val="221E1F"/>
        </w:rPr>
        <w:t xml:space="preserve">All of the </w:t>
      </w:r>
      <w:proofErr w:type="spellStart"/>
      <w:r w:rsidRPr="00C57845">
        <w:rPr>
          <w:rFonts w:ascii="Times New Roman" w:eastAsia="Times New Roman PS" w:hAnsi="Times New Roman" w:cs="Times New Roman"/>
          <w:color w:val="221E1F"/>
        </w:rPr>
        <w:t>electrosprayed</w:t>
      </w:r>
      <w:proofErr w:type="spellEnd"/>
      <w:r w:rsidRPr="00C57845">
        <w:rPr>
          <w:rFonts w:ascii="Times New Roman" w:eastAsia="Times New Roman PS" w:hAnsi="Times New Roman" w:cs="Times New Roman"/>
          <w:color w:val="221E1F"/>
        </w:rPr>
        <w:t xml:space="preserve"> </w:t>
      </w:r>
      <w:proofErr w:type="spellStart"/>
      <w:r w:rsidRPr="00C57845">
        <w:rPr>
          <w:rFonts w:ascii="Times New Roman" w:eastAsia="Times New Roman PS" w:hAnsi="Times New Roman" w:cs="Times New Roman"/>
          <w:color w:val="221E1F"/>
        </w:rPr>
        <w:t>nanospherule</w:t>
      </w:r>
      <w:proofErr w:type="spellEnd"/>
      <w:r w:rsidRPr="00C57845">
        <w:rPr>
          <w:rFonts w:ascii="Times New Roman" w:eastAsia="Times New Roman PS" w:hAnsi="Times New Roman" w:cs="Times New Roman"/>
          <w:color w:val="221E1F"/>
        </w:rPr>
        <w:t xml:space="preserve"> formulations had remarkably enhanced aqueous solubility and dissolution compared with free drug. Moreover, </w:t>
      </w:r>
      <w:proofErr w:type="spellStart"/>
      <w:r w:rsidRPr="00C57845">
        <w:rPr>
          <w:rFonts w:ascii="Times New Roman" w:eastAsia="Times New Roman PS" w:hAnsi="Times New Roman" w:cs="Times New Roman"/>
          <w:color w:val="221E1F"/>
        </w:rPr>
        <w:t>Labrafil</w:t>
      </w:r>
      <w:proofErr w:type="spellEnd"/>
      <w:r w:rsidRPr="00C57845">
        <w:rPr>
          <w:rFonts w:ascii="Times New Roman" w:eastAsia="Times New Roman PS" w:hAnsi="Times New Roman" w:cs="Times New Roman"/>
          <w:color w:val="221E1F"/>
        </w:rPr>
        <w:t xml:space="preserve"> M 2125, a surfactant, had a positive influence on the solubility and dissolution of the drug in the </w:t>
      </w:r>
      <w:proofErr w:type="spellStart"/>
      <w:r w:rsidRPr="00C57845">
        <w:rPr>
          <w:rFonts w:ascii="Times New Roman" w:eastAsia="Times New Roman PS" w:hAnsi="Times New Roman" w:cs="Times New Roman"/>
          <w:color w:val="221E1F"/>
        </w:rPr>
        <w:t>electrosprayed</w:t>
      </w:r>
      <w:proofErr w:type="spellEnd"/>
      <w:r w:rsidRPr="00C57845">
        <w:rPr>
          <w:rFonts w:ascii="Times New Roman" w:eastAsia="Times New Roman PS" w:hAnsi="Times New Roman" w:cs="Times New Roman"/>
          <w:color w:val="221E1F"/>
        </w:rPr>
        <w:t xml:space="preserve"> </w:t>
      </w:r>
      <w:proofErr w:type="spellStart"/>
      <w:r w:rsidRPr="00C57845">
        <w:rPr>
          <w:rFonts w:ascii="Times New Roman" w:eastAsia="Times New Roman PS" w:hAnsi="Times New Roman" w:cs="Times New Roman"/>
          <w:color w:val="221E1F"/>
        </w:rPr>
        <w:t>nanospherule</w:t>
      </w:r>
      <w:proofErr w:type="spellEnd"/>
      <w:r w:rsidRPr="00C57845">
        <w:rPr>
          <w:rFonts w:ascii="Times New Roman" w:eastAsia="Times New Roman PS" w:hAnsi="Times New Roman" w:cs="Times New Roman"/>
          <w:color w:val="221E1F"/>
        </w:rPr>
        <w:t xml:space="preserve">. Increases were observed as the PVP/drug ratio increased to 4:1, but higher ratios gave no significant increases. In particular, </w:t>
      </w:r>
      <w:proofErr w:type="gramStart"/>
      <w:r w:rsidRPr="00C57845">
        <w:rPr>
          <w:rFonts w:ascii="Times New Roman" w:eastAsia="Times New Roman PS" w:hAnsi="Times New Roman" w:cs="Times New Roman"/>
          <w:color w:val="221E1F"/>
        </w:rPr>
        <w:t>an</w:t>
      </w:r>
      <w:proofErr w:type="gramEnd"/>
      <w:r w:rsidRPr="00C57845">
        <w:rPr>
          <w:rFonts w:ascii="Times New Roman" w:eastAsia="Times New Roman PS" w:hAnsi="Times New Roman" w:cs="Times New Roman"/>
          <w:color w:val="221E1F"/>
        </w:rPr>
        <w:t xml:space="preserve"> </w:t>
      </w:r>
      <w:proofErr w:type="spellStart"/>
      <w:r w:rsidRPr="00C57845">
        <w:rPr>
          <w:rFonts w:ascii="Times New Roman" w:eastAsia="Times New Roman PS" w:hAnsi="Times New Roman" w:cs="Times New Roman"/>
          <w:color w:val="221E1F"/>
        </w:rPr>
        <w:t>electrosprayed</w:t>
      </w:r>
      <w:proofErr w:type="spellEnd"/>
      <w:r w:rsidRPr="00C57845">
        <w:rPr>
          <w:rFonts w:ascii="Times New Roman" w:eastAsia="Times New Roman PS" w:hAnsi="Times New Roman" w:cs="Times New Roman"/>
          <w:color w:val="221E1F"/>
        </w:rPr>
        <w:t xml:space="preserve"> </w:t>
      </w:r>
      <w:proofErr w:type="spellStart"/>
      <w:r w:rsidRPr="00C57845">
        <w:rPr>
          <w:rFonts w:ascii="Times New Roman" w:eastAsia="Times New Roman PS" w:hAnsi="Times New Roman" w:cs="Times New Roman"/>
          <w:color w:val="221E1F"/>
        </w:rPr>
        <w:t>nanospherule</w:t>
      </w:r>
      <w:proofErr w:type="spellEnd"/>
      <w:r w:rsidRPr="00C57845">
        <w:rPr>
          <w:rFonts w:ascii="Times New Roman" w:eastAsia="Times New Roman PS" w:hAnsi="Times New Roman" w:cs="Times New Roman"/>
          <w:color w:val="221E1F"/>
        </w:rPr>
        <w:t xml:space="preserve"> composed of </w:t>
      </w:r>
      <w:proofErr w:type="spellStart"/>
      <w:r w:rsidRPr="00C57845">
        <w:rPr>
          <w:rFonts w:ascii="Times New Roman" w:eastAsia="Times New Roman PS" w:hAnsi="Times New Roman" w:cs="Times New Roman"/>
          <w:color w:val="221E1F"/>
        </w:rPr>
        <w:t>fenofibrate</w:t>
      </w:r>
      <w:proofErr w:type="spellEnd"/>
      <w:r w:rsidRPr="00C57845">
        <w:rPr>
          <w:rFonts w:ascii="Times New Roman" w:eastAsia="Times New Roman PS" w:hAnsi="Times New Roman" w:cs="Times New Roman"/>
          <w:color w:val="221E1F"/>
        </w:rPr>
        <w:t xml:space="preserve">, PVP, and </w:t>
      </w:r>
      <w:proofErr w:type="spellStart"/>
      <w:r w:rsidRPr="00C57845">
        <w:rPr>
          <w:rFonts w:ascii="Times New Roman" w:eastAsia="Times New Roman PS" w:hAnsi="Times New Roman" w:cs="Times New Roman"/>
          <w:color w:val="221E1F"/>
        </w:rPr>
        <w:t>Labrafil</w:t>
      </w:r>
      <w:proofErr w:type="spellEnd"/>
      <w:r w:rsidRPr="00C57845">
        <w:rPr>
          <w:rFonts w:ascii="Times New Roman" w:eastAsia="Times New Roman PS" w:hAnsi="Times New Roman" w:cs="Times New Roman"/>
          <w:color w:val="221E1F"/>
        </w:rPr>
        <w:t xml:space="preserve"> M 2125 at the weight ratio of 1:4:0.5 resulted in a particle size of 200 nm with the drug present in the amorphous state. It demonstrated the highest solubility (32.51±2.41 μg/mL), an excellent dissolution (~85% in 10 minutes), and an oral bioavailability ~2.5-fold better than that of the free drug. It showed similar oral bioavailability compared to the conventional solid dispersion.</w:t>
      </w:r>
      <w:r w:rsidR="00D260BC">
        <w:rPr>
          <w:rFonts w:ascii="Times New Roman" w:eastAsia="Times New Roman PS" w:hAnsi="Times New Roman" w:cs="Times New Roman"/>
          <w:color w:val="221E1F"/>
        </w:rPr>
        <w:t xml:space="preserve"> </w:t>
      </w:r>
      <w:r w:rsidR="00D260BC">
        <w:rPr>
          <w:rFonts w:ascii="Times New Roman" w:eastAsia="Times New Roman PS" w:hAnsi="Times New Roman" w:cs="Times New Roman" w:hint="eastAsia"/>
          <w:color w:val="221E1F"/>
        </w:rPr>
        <w:t>Thus,</w:t>
      </w:r>
      <w:r w:rsidR="00D260BC">
        <w:rPr>
          <w:rFonts w:ascii="Times New Roman" w:eastAsia="Times New Roman PS" w:hAnsi="Times New Roman" w:cs="Times New Roman"/>
          <w:color w:val="221E1F"/>
        </w:rPr>
        <w:t xml:space="preserve"> the </w:t>
      </w:r>
      <w:proofErr w:type="spellStart"/>
      <w:r w:rsidR="00D260BC">
        <w:rPr>
          <w:rFonts w:ascii="Times New Roman" w:eastAsia="Times New Roman PS" w:hAnsi="Times New Roman" w:cs="Times New Roman"/>
          <w:color w:val="221E1F"/>
        </w:rPr>
        <w:t>e</w:t>
      </w:r>
      <w:r w:rsidRPr="00C57845">
        <w:rPr>
          <w:rFonts w:ascii="Times New Roman" w:eastAsia="Times New Roman PS" w:hAnsi="Times New Roman" w:cs="Times New Roman"/>
          <w:color w:val="221E1F"/>
        </w:rPr>
        <w:t>lectrosprayed</w:t>
      </w:r>
      <w:proofErr w:type="spellEnd"/>
      <w:r w:rsidRPr="00C57845">
        <w:rPr>
          <w:rFonts w:ascii="Times New Roman" w:eastAsia="Times New Roman PS" w:hAnsi="Times New Roman" w:cs="Times New Roman"/>
          <w:color w:val="221E1F"/>
        </w:rPr>
        <w:t xml:space="preserve"> </w:t>
      </w:r>
      <w:proofErr w:type="spellStart"/>
      <w:r w:rsidRPr="00C57845">
        <w:rPr>
          <w:rFonts w:ascii="Times New Roman" w:eastAsia="Times New Roman PS" w:hAnsi="Times New Roman" w:cs="Times New Roman"/>
          <w:color w:val="221E1F"/>
        </w:rPr>
        <w:t>nanospherules</w:t>
      </w:r>
      <w:proofErr w:type="spellEnd"/>
      <w:r w:rsidRPr="00C57845">
        <w:rPr>
          <w:rFonts w:ascii="Times New Roman" w:eastAsia="Times New Roman PS" w:hAnsi="Times New Roman" w:cs="Times New Roman"/>
          <w:color w:val="221E1F"/>
        </w:rPr>
        <w:t xml:space="preserve">, which provide improved solubility and bioavailability, are promising drug delivery tools for oral administration of poorly water-soluble </w:t>
      </w:r>
      <w:proofErr w:type="spellStart"/>
      <w:r w:rsidRPr="00C57845">
        <w:rPr>
          <w:rFonts w:ascii="Times New Roman" w:eastAsia="Times New Roman PS" w:hAnsi="Times New Roman" w:cs="Times New Roman"/>
          <w:color w:val="221E1F"/>
        </w:rPr>
        <w:t>fenofibrate</w:t>
      </w:r>
      <w:proofErr w:type="spellEnd"/>
      <w:r w:rsidRPr="00C57845">
        <w:rPr>
          <w:rFonts w:ascii="Times New Roman" w:eastAsia="Times New Roman PS" w:hAnsi="Times New Roman" w:cs="Times New Roman"/>
          <w:color w:val="221E1F"/>
        </w:rPr>
        <w:t>.</w:t>
      </w:r>
    </w:p>
    <w:p w:rsidR="00C57845" w:rsidRDefault="00C57845" w:rsidP="00C57845">
      <w:pPr>
        <w:rPr>
          <w:rFonts w:ascii="Times New Roman" w:eastAsia="Times New Roman PS" w:hAnsi="Times New Roman" w:cs="Times New Roman"/>
          <w:b/>
          <w:bCs/>
          <w:color w:val="221E1F"/>
          <w:sz w:val="24"/>
          <w:szCs w:val="24"/>
        </w:rPr>
      </w:pPr>
    </w:p>
    <w:p w:rsidR="00C57845" w:rsidRPr="00C57845" w:rsidRDefault="00C57845" w:rsidP="00C57845">
      <w:pPr>
        <w:rPr>
          <w:rFonts w:ascii="Times New Roman" w:hAnsi="Times New Roman" w:cs="Times New Roman"/>
          <w:b/>
          <w:sz w:val="24"/>
          <w:szCs w:val="24"/>
        </w:rPr>
      </w:pPr>
      <w:r w:rsidRPr="00C57845">
        <w:rPr>
          <w:rFonts w:ascii="Times New Roman" w:eastAsia="Times New Roman PS" w:hAnsi="Times New Roman" w:cs="Times New Roman"/>
          <w:b/>
          <w:bCs/>
          <w:color w:val="221E1F"/>
          <w:sz w:val="24"/>
          <w:szCs w:val="24"/>
        </w:rPr>
        <w:t xml:space="preserve">Keywords: </w:t>
      </w:r>
      <w:bookmarkStart w:id="0" w:name="_GoBack"/>
      <w:proofErr w:type="spellStart"/>
      <w:r w:rsidRPr="00C57845">
        <w:rPr>
          <w:rFonts w:ascii="Times New Roman" w:eastAsia="Times New Roman PS" w:hAnsi="Times New Roman" w:cs="Times New Roman"/>
          <w:color w:val="221E1F"/>
          <w:sz w:val="24"/>
          <w:szCs w:val="24"/>
        </w:rPr>
        <w:t>fenofibrate</w:t>
      </w:r>
      <w:proofErr w:type="spellEnd"/>
      <w:r w:rsidRPr="00C57845">
        <w:rPr>
          <w:rFonts w:ascii="Times New Roman" w:eastAsia="Times New Roman PS" w:hAnsi="Times New Roman" w:cs="Times New Roman"/>
          <w:color w:val="221E1F"/>
          <w:sz w:val="24"/>
          <w:szCs w:val="24"/>
        </w:rPr>
        <w:t xml:space="preserve">, electrospray technique, </w:t>
      </w:r>
      <w:proofErr w:type="spellStart"/>
      <w:r w:rsidRPr="00C57845">
        <w:rPr>
          <w:rFonts w:ascii="Times New Roman" w:eastAsia="Times New Roman PS" w:hAnsi="Times New Roman" w:cs="Times New Roman"/>
          <w:color w:val="221E1F"/>
          <w:sz w:val="24"/>
          <w:szCs w:val="24"/>
        </w:rPr>
        <w:t>nanospherule</w:t>
      </w:r>
      <w:proofErr w:type="spellEnd"/>
      <w:r w:rsidRPr="00C57845">
        <w:rPr>
          <w:rFonts w:ascii="Times New Roman" w:eastAsia="Times New Roman PS" w:hAnsi="Times New Roman" w:cs="Times New Roman"/>
          <w:color w:val="221E1F"/>
          <w:sz w:val="24"/>
          <w:szCs w:val="24"/>
        </w:rPr>
        <w:t>, enhanced bioavailability</w:t>
      </w:r>
      <w:bookmarkEnd w:id="0"/>
    </w:p>
    <w:sectPr w:rsidR="00C57845" w:rsidRPr="00C57845">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795E" w:rsidRDefault="00E8795E" w:rsidP="00D260BC">
      <w:pPr>
        <w:spacing w:after="0" w:line="240" w:lineRule="auto"/>
      </w:pPr>
      <w:r>
        <w:separator/>
      </w:r>
    </w:p>
  </w:endnote>
  <w:endnote w:type="continuationSeparator" w:id="0">
    <w:p w:rsidR="00E8795E" w:rsidRDefault="00E8795E" w:rsidP="00D260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imes New Roman PS">
    <w:altName w:val="Arial Unicode MS"/>
    <w:panose1 w:val="00000000000000000000"/>
    <w:charset w:val="81"/>
    <w:family w:val="roman"/>
    <w:notTrueType/>
    <w:pitch w:val="default"/>
    <w:sig w:usb0="00000000"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795E" w:rsidRDefault="00E8795E" w:rsidP="00D260BC">
      <w:pPr>
        <w:spacing w:after="0" w:line="240" w:lineRule="auto"/>
      </w:pPr>
      <w:r>
        <w:separator/>
      </w:r>
    </w:p>
  </w:footnote>
  <w:footnote w:type="continuationSeparator" w:id="0">
    <w:p w:rsidR="00E8795E" w:rsidRDefault="00E8795E" w:rsidP="00D260B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7845"/>
    <w:rsid w:val="00811776"/>
    <w:rsid w:val="008F18D1"/>
    <w:rsid w:val="00C57845"/>
    <w:rsid w:val="00D260BC"/>
    <w:rsid w:val="00D830F3"/>
    <w:rsid w:val="00D8657E"/>
    <w:rsid w:val="00E8795E"/>
    <w:rsid w:val="00EA3D1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wordWrap w:val="0"/>
      <w:autoSpaceDE w:val="0"/>
      <w:autoSpaceDN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57845"/>
    <w:pPr>
      <w:widowControl w:val="0"/>
      <w:autoSpaceDE w:val="0"/>
      <w:autoSpaceDN w:val="0"/>
      <w:adjustRightInd w:val="0"/>
      <w:spacing w:after="0" w:line="240" w:lineRule="auto"/>
      <w:jc w:val="left"/>
    </w:pPr>
    <w:rPr>
      <w:rFonts w:ascii="Gill Sans MT" w:hAnsi="Gill Sans MT" w:cs="Gill Sans MT"/>
      <w:color w:val="000000"/>
      <w:kern w:val="0"/>
      <w:sz w:val="24"/>
      <w:szCs w:val="24"/>
    </w:rPr>
  </w:style>
  <w:style w:type="paragraph" w:customStyle="1" w:styleId="Pa11">
    <w:name w:val="Pa11"/>
    <w:basedOn w:val="Default"/>
    <w:next w:val="Default"/>
    <w:uiPriority w:val="99"/>
    <w:rsid w:val="00C57845"/>
    <w:pPr>
      <w:spacing w:line="181" w:lineRule="atLeast"/>
    </w:pPr>
    <w:rPr>
      <w:rFonts w:cstheme="minorBidi"/>
      <w:color w:val="auto"/>
    </w:rPr>
  </w:style>
  <w:style w:type="paragraph" w:styleId="Header">
    <w:name w:val="header"/>
    <w:basedOn w:val="Normal"/>
    <w:link w:val="HeaderChar"/>
    <w:uiPriority w:val="99"/>
    <w:unhideWhenUsed/>
    <w:rsid w:val="00D260BC"/>
    <w:pPr>
      <w:tabs>
        <w:tab w:val="center" w:pos="4513"/>
        <w:tab w:val="right" w:pos="9026"/>
      </w:tabs>
      <w:snapToGrid w:val="0"/>
    </w:pPr>
  </w:style>
  <w:style w:type="character" w:customStyle="1" w:styleId="HeaderChar">
    <w:name w:val="Header Char"/>
    <w:basedOn w:val="DefaultParagraphFont"/>
    <w:link w:val="Header"/>
    <w:uiPriority w:val="99"/>
    <w:rsid w:val="00D260BC"/>
  </w:style>
  <w:style w:type="paragraph" w:styleId="Footer">
    <w:name w:val="footer"/>
    <w:basedOn w:val="Normal"/>
    <w:link w:val="FooterChar"/>
    <w:uiPriority w:val="99"/>
    <w:unhideWhenUsed/>
    <w:rsid w:val="00D260BC"/>
    <w:pPr>
      <w:tabs>
        <w:tab w:val="center" w:pos="4513"/>
        <w:tab w:val="right" w:pos="9026"/>
      </w:tabs>
      <w:snapToGrid w:val="0"/>
    </w:pPr>
  </w:style>
  <w:style w:type="character" w:customStyle="1" w:styleId="FooterChar">
    <w:name w:val="Footer Char"/>
    <w:basedOn w:val="DefaultParagraphFont"/>
    <w:link w:val="Footer"/>
    <w:uiPriority w:val="99"/>
    <w:rsid w:val="00D260B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wordWrap w:val="0"/>
      <w:autoSpaceDE w:val="0"/>
      <w:autoSpaceDN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57845"/>
    <w:pPr>
      <w:widowControl w:val="0"/>
      <w:autoSpaceDE w:val="0"/>
      <w:autoSpaceDN w:val="0"/>
      <w:adjustRightInd w:val="0"/>
      <w:spacing w:after="0" w:line="240" w:lineRule="auto"/>
      <w:jc w:val="left"/>
    </w:pPr>
    <w:rPr>
      <w:rFonts w:ascii="Gill Sans MT" w:hAnsi="Gill Sans MT" w:cs="Gill Sans MT"/>
      <w:color w:val="000000"/>
      <w:kern w:val="0"/>
      <w:sz w:val="24"/>
      <w:szCs w:val="24"/>
    </w:rPr>
  </w:style>
  <w:style w:type="paragraph" w:customStyle="1" w:styleId="Pa11">
    <w:name w:val="Pa11"/>
    <w:basedOn w:val="Default"/>
    <w:next w:val="Default"/>
    <w:uiPriority w:val="99"/>
    <w:rsid w:val="00C57845"/>
    <w:pPr>
      <w:spacing w:line="181" w:lineRule="atLeast"/>
    </w:pPr>
    <w:rPr>
      <w:rFonts w:cstheme="minorBidi"/>
      <w:color w:val="auto"/>
    </w:rPr>
  </w:style>
  <w:style w:type="paragraph" w:styleId="Header">
    <w:name w:val="header"/>
    <w:basedOn w:val="Normal"/>
    <w:link w:val="HeaderChar"/>
    <w:uiPriority w:val="99"/>
    <w:unhideWhenUsed/>
    <w:rsid w:val="00D260BC"/>
    <w:pPr>
      <w:tabs>
        <w:tab w:val="center" w:pos="4513"/>
        <w:tab w:val="right" w:pos="9026"/>
      </w:tabs>
      <w:snapToGrid w:val="0"/>
    </w:pPr>
  </w:style>
  <w:style w:type="character" w:customStyle="1" w:styleId="HeaderChar">
    <w:name w:val="Header Char"/>
    <w:basedOn w:val="DefaultParagraphFont"/>
    <w:link w:val="Header"/>
    <w:uiPriority w:val="99"/>
    <w:rsid w:val="00D260BC"/>
  </w:style>
  <w:style w:type="paragraph" w:styleId="Footer">
    <w:name w:val="footer"/>
    <w:basedOn w:val="Normal"/>
    <w:link w:val="FooterChar"/>
    <w:uiPriority w:val="99"/>
    <w:unhideWhenUsed/>
    <w:rsid w:val="00D260BC"/>
    <w:pPr>
      <w:tabs>
        <w:tab w:val="center" w:pos="4513"/>
        <w:tab w:val="right" w:pos="9026"/>
      </w:tabs>
      <w:snapToGrid w:val="0"/>
    </w:pPr>
  </w:style>
  <w:style w:type="character" w:customStyle="1" w:styleId="FooterChar">
    <w:name w:val="Footer Char"/>
    <w:basedOn w:val="DefaultParagraphFont"/>
    <w:link w:val="Footer"/>
    <w:uiPriority w:val="99"/>
    <w:rsid w:val="00D260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318</Words>
  <Characters>1814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동식킴</dc:creator>
  <cp:lastModifiedBy>Omer Mustapha</cp:lastModifiedBy>
  <cp:revision>2</cp:revision>
  <dcterms:created xsi:type="dcterms:W3CDTF">2018-06-08T04:13:00Z</dcterms:created>
  <dcterms:modified xsi:type="dcterms:W3CDTF">2018-06-08T04:13:00Z</dcterms:modified>
</cp:coreProperties>
</file>