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870953" w14:textId="017D7D3D" w:rsidR="00E14DF0" w:rsidRDefault="00E14DF0" w:rsidP="004237A9">
      <w:pPr>
        <w:widowControl w:val="0"/>
        <w:autoSpaceDE w:val="0"/>
        <w:autoSpaceDN w:val="0"/>
        <w:adjustRightInd w:val="0"/>
        <w:jc w:val="center"/>
        <w:rPr>
          <w:rFonts w:ascii="Times New Roman" w:hAnsi="Times New Roman" w:cs="Times New Roman"/>
          <w:b/>
          <w:color w:val="191919"/>
        </w:rPr>
      </w:pPr>
      <w:r w:rsidRPr="00E14DF0">
        <w:rPr>
          <w:rFonts w:ascii="Times New Roman" w:hAnsi="Times New Roman" w:cs="Times New Roman"/>
          <w:b/>
          <w:color w:val="191919"/>
        </w:rPr>
        <w:t>Abstract</w:t>
      </w:r>
    </w:p>
    <w:p w14:paraId="463A3698" w14:textId="77777777" w:rsidR="00E14DF0" w:rsidRPr="00E14DF0" w:rsidRDefault="00E14DF0" w:rsidP="004237A9">
      <w:pPr>
        <w:widowControl w:val="0"/>
        <w:autoSpaceDE w:val="0"/>
        <w:autoSpaceDN w:val="0"/>
        <w:adjustRightInd w:val="0"/>
        <w:jc w:val="center"/>
        <w:rPr>
          <w:rFonts w:ascii="Times New Roman" w:hAnsi="Times New Roman" w:cs="Times New Roman"/>
          <w:b/>
          <w:color w:val="191919"/>
        </w:rPr>
      </w:pPr>
    </w:p>
    <w:p w14:paraId="065DB052" w14:textId="77777777" w:rsidR="00182153" w:rsidRPr="00182153" w:rsidRDefault="00182153" w:rsidP="004237A9">
      <w:pPr>
        <w:widowControl w:val="0"/>
        <w:autoSpaceDE w:val="0"/>
        <w:autoSpaceDN w:val="0"/>
        <w:adjustRightInd w:val="0"/>
        <w:jc w:val="both"/>
        <w:rPr>
          <w:rFonts w:ascii="Times New Roman" w:hAnsi="Times New Roman" w:cs="Times New Roman"/>
          <w:color w:val="191919"/>
        </w:rPr>
      </w:pPr>
      <w:r w:rsidRPr="00182153">
        <w:rPr>
          <w:rFonts w:ascii="Times New Roman" w:hAnsi="Times New Roman" w:cs="Times New Roman"/>
          <w:color w:val="191919"/>
        </w:rPr>
        <w:t>Characteristics of Sexually Transmitted Infections At Ibnu Sina Hospital Makassar Period January 2011-June 2012</w:t>
      </w:r>
    </w:p>
    <w:p w14:paraId="5341F535" w14:textId="77777777" w:rsidR="00182153" w:rsidRPr="00182153" w:rsidRDefault="00182153" w:rsidP="004237A9">
      <w:pPr>
        <w:widowControl w:val="0"/>
        <w:autoSpaceDE w:val="0"/>
        <w:autoSpaceDN w:val="0"/>
        <w:adjustRightInd w:val="0"/>
        <w:jc w:val="both"/>
        <w:rPr>
          <w:rFonts w:ascii="Times New Roman" w:hAnsi="Times New Roman" w:cs="Times New Roman"/>
          <w:color w:val="191919"/>
        </w:rPr>
      </w:pPr>
    </w:p>
    <w:p w14:paraId="2468CDAB" w14:textId="77777777" w:rsidR="00182153" w:rsidRPr="00182153" w:rsidRDefault="00182153" w:rsidP="004237A9">
      <w:pPr>
        <w:widowControl w:val="0"/>
        <w:autoSpaceDE w:val="0"/>
        <w:autoSpaceDN w:val="0"/>
        <w:adjustRightInd w:val="0"/>
        <w:jc w:val="both"/>
        <w:rPr>
          <w:rFonts w:ascii="Times New Roman" w:hAnsi="Times New Roman" w:cs="Times New Roman"/>
          <w:color w:val="191919"/>
        </w:rPr>
      </w:pPr>
      <w:r w:rsidRPr="00182153">
        <w:rPr>
          <w:rFonts w:ascii="Times New Roman" w:hAnsi="Times New Roman" w:cs="Times New Roman"/>
          <w:color w:val="191919"/>
        </w:rPr>
        <w:t>Sexually transmitted infections are</w:t>
      </w:r>
      <w:bookmarkStart w:id="0" w:name="_GoBack"/>
      <w:bookmarkEnd w:id="0"/>
      <w:r w:rsidRPr="00182153">
        <w:rPr>
          <w:rFonts w:ascii="Times New Roman" w:hAnsi="Times New Roman" w:cs="Times New Roman"/>
          <w:color w:val="191919"/>
        </w:rPr>
        <w:t xml:space="preserve"> still a health, social and economic problem. The incidence of STIs is still relatively high and can be accompanied by medical complications such as infertility, disability, pregnancy disorders, growth disorders, cancer and even death. The purpose of this study was to determine the characteristics of sexually transmitted infected patients at Ibnu Sina Hospital Makassar Period January2011-June 2012.</w:t>
      </w:r>
    </w:p>
    <w:p w14:paraId="63A6E3AC" w14:textId="77777777" w:rsidR="00182153" w:rsidRPr="00182153" w:rsidRDefault="00182153" w:rsidP="004237A9">
      <w:pPr>
        <w:widowControl w:val="0"/>
        <w:autoSpaceDE w:val="0"/>
        <w:autoSpaceDN w:val="0"/>
        <w:adjustRightInd w:val="0"/>
        <w:jc w:val="both"/>
        <w:rPr>
          <w:rFonts w:ascii="Times New Roman" w:hAnsi="Times New Roman" w:cs="Times New Roman"/>
          <w:color w:val="191919"/>
        </w:rPr>
      </w:pPr>
      <w:r w:rsidRPr="00182153">
        <w:rPr>
          <w:rFonts w:ascii="Times New Roman" w:hAnsi="Times New Roman" w:cs="Times New Roman"/>
          <w:color w:val="191919"/>
        </w:rPr>
        <w:t>The design of this research is descriptive survey research with retrospective design. The population in this study were all patients diagnosed with STIs at Ibnu Sina Hospital Makassar Period January 2011-June 2012. The samples in this study were all patients who have been diagnosed with sexually transmitted diseases and have a complete data of 50 people. The data collected is processed using computer with SPSS program.</w:t>
      </w:r>
    </w:p>
    <w:p w14:paraId="1479336D" w14:textId="77777777" w:rsidR="00182153" w:rsidRPr="00182153" w:rsidRDefault="00182153" w:rsidP="004237A9">
      <w:pPr>
        <w:widowControl w:val="0"/>
        <w:autoSpaceDE w:val="0"/>
        <w:autoSpaceDN w:val="0"/>
        <w:adjustRightInd w:val="0"/>
        <w:jc w:val="both"/>
        <w:rPr>
          <w:rFonts w:ascii="Times New Roman" w:hAnsi="Times New Roman" w:cs="Times New Roman"/>
          <w:color w:val="191919"/>
        </w:rPr>
      </w:pPr>
      <w:r w:rsidRPr="00182153">
        <w:rPr>
          <w:rFonts w:ascii="Times New Roman" w:hAnsi="Times New Roman" w:cs="Times New Roman"/>
          <w:color w:val="191919"/>
        </w:rPr>
        <w:t>This study concluded that respondents who suffer from sexually transmitted infections are more at the age of 20-30 years as many as 32 people (64.0%), women as many as 29 people (58.0%), elementary education is 19 people (38.0% ), working as prostitutes as many as 20 people (38.5%). the most common type of STIs were 26 patients (52.9%) of condyloma akuminata and then HIV / AIDS as many as 18 people (36.0%) and at least those with bacterial Vaginosis, Vulvovaginalis and Vaginitis Candidiasis were 1 person (2.0 %).</w:t>
      </w:r>
    </w:p>
    <w:p w14:paraId="08B68C55" w14:textId="77777777" w:rsidR="00182153" w:rsidRPr="00182153" w:rsidRDefault="00182153" w:rsidP="004237A9">
      <w:pPr>
        <w:widowControl w:val="0"/>
        <w:autoSpaceDE w:val="0"/>
        <w:autoSpaceDN w:val="0"/>
        <w:adjustRightInd w:val="0"/>
        <w:jc w:val="both"/>
        <w:rPr>
          <w:rFonts w:ascii="Times New Roman" w:hAnsi="Times New Roman" w:cs="Times New Roman"/>
          <w:color w:val="191919"/>
        </w:rPr>
      </w:pPr>
      <w:r w:rsidRPr="00182153">
        <w:rPr>
          <w:rFonts w:ascii="Times New Roman" w:hAnsi="Times New Roman" w:cs="Times New Roman"/>
          <w:color w:val="191919"/>
        </w:rPr>
        <w:t>This study suggests the role of officers providing counseling about sexually transmitted infections against those at risk of sexually transmitted diseases and high-risk workers, diligent in their health checks to avoid the occurrence of sexually transmitted infections</w:t>
      </w:r>
    </w:p>
    <w:p w14:paraId="5E32410A" w14:textId="77777777" w:rsidR="00182153" w:rsidRPr="00182153" w:rsidRDefault="00182153" w:rsidP="004237A9">
      <w:pPr>
        <w:widowControl w:val="0"/>
        <w:autoSpaceDE w:val="0"/>
        <w:autoSpaceDN w:val="0"/>
        <w:adjustRightInd w:val="0"/>
        <w:jc w:val="both"/>
        <w:rPr>
          <w:rFonts w:ascii="Times New Roman" w:hAnsi="Times New Roman" w:cs="Times New Roman"/>
          <w:color w:val="191919"/>
        </w:rPr>
      </w:pPr>
    </w:p>
    <w:p w14:paraId="48F60442" w14:textId="425FD818" w:rsidR="00182153" w:rsidRPr="00182153" w:rsidRDefault="00182153" w:rsidP="004237A9">
      <w:pPr>
        <w:widowControl w:val="0"/>
        <w:autoSpaceDE w:val="0"/>
        <w:autoSpaceDN w:val="0"/>
        <w:adjustRightInd w:val="0"/>
        <w:jc w:val="both"/>
        <w:rPr>
          <w:rFonts w:ascii="Times New Roman" w:hAnsi="Times New Roman" w:cs="Times New Roman"/>
          <w:color w:val="191919"/>
        </w:rPr>
      </w:pPr>
      <w:r w:rsidRPr="00182153">
        <w:rPr>
          <w:rFonts w:ascii="Times New Roman" w:hAnsi="Times New Roman" w:cs="Times New Roman"/>
          <w:color w:val="191919"/>
        </w:rPr>
        <w:t>Keywords: Sexually Transmitted Infections</w:t>
      </w:r>
      <w:r w:rsidR="00CE369B">
        <w:rPr>
          <w:rFonts w:ascii="Times New Roman" w:hAnsi="Times New Roman" w:cs="Times New Roman"/>
          <w:color w:val="191919"/>
        </w:rPr>
        <w:t>, Vulvovaginosis</w:t>
      </w:r>
      <w:r w:rsidR="00B2110D">
        <w:rPr>
          <w:rFonts w:ascii="Times New Roman" w:hAnsi="Times New Roman" w:cs="Times New Roman"/>
          <w:color w:val="191919"/>
        </w:rPr>
        <w:t>, bacterial</w:t>
      </w:r>
    </w:p>
    <w:p w14:paraId="210E39D6" w14:textId="77777777" w:rsidR="004C0832" w:rsidRDefault="00182153" w:rsidP="004237A9">
      <w:pPr>
        <w:jc w:val="both"/>
        <w:rPr>
          <w:rFonts w:ascii="Times New Roman" w:hAnsi="Times New Roman" w:cs="Times New Roman"/>
          <w:color w:val="191919"/>
        </w:rPr>
      </w:pPr>
      <w:r w:rsidRPr="00182153">
        <w:rPr>
          <w:rFonts w:ascii="Times New Roman" w:hAnsi="Times New Roman" w:cs="Times New Roman"/>
          <w:color w:val="191919"/>
        </w:rPr>
        <w:t>References: 20 (2001- 2011)</w:t>
      </w:r>
    </w:p>
    <w:p w14:paraId="424D5038" w14:textId="77777777" w:rsidR="00E14DF0" w:rsidRDefault="00E14DF0" w:rsidP="004237A9">
      <w:pPr>
        <w:jc w:val="both"/>
        <w:rPr>
          <w:rFonts w:ascii="Times New Roman" w:hAnsi="Times New Roman" w:cs="Times New Roman"/>
          <w:color w:val="191919"/>
        </w:rPr>
      </w:pPr>
    </w:p>
    <w:p w14:paraId="2B0B41F9" w14:textId="77777777" w:rsidR="00E14DF0" w:rsidRDefault="00E14DF0" w:rsidP="004237A9">
      <w:pPr>
        <w:jc w:val="both"/>
        <w:rPr>
          <w:rFonts w:ascii="Times New Roman" w:hAnsi="Times New Roman" w:cs="Times New Roman"/>
          <w:color w:val="191919"/>
        </w:rPr>
      </w:pPr>
    </w:p>
    <w:p w14:paraId="69EEA7D3" w14:textId="77777777" w:rsidR="00E14DF0" w:rsidRDefault="00E14DF0" w:rsidP="004237A9">
      <w:pPr>
        <w:jc w:val="both"/>
        <w:rPr>
          <w:rFonts w:ascii="Times New Roman" w:hAnsi="Times New Roman" w:cs="Times New Roman"/>
          <w:color w:val="191919"/>
        </w:rPr>
      </w:pPr>
    </w:p>
    <w:p w14:paraId="03A9369A" w14:textId="5DFAEAEC" w:rsidR="00E14DF0" w:rsidRDefault="00E14DF0" w:rsidP="004237A9">
      <w:pPr>
        <w:jc w:val="both"/>
        <w:rPr>
          <w:rFonts w:ascii="Times New Roman" w:hAnsi="Times New Roman" w:cs="Times New Roman"/>
          <w:b/>
          <w:color w:val="191919"/>
        </w:rPr>
      </w:pPr>
      <w:r w:rsidRPr="00E14DF0">
        <w:rPr>
          <w:rFonts w:ascii="Times New Roman" w:hAnsi="Times New Roman" w:cs="Times New Roman"/>
          <w:b/>
          <w:color w:val="191919"/>
        </w:rPr>
        <w:t>Introduction</w:t>
      </w:r>
    </w:p>
    <w:p w14:paraId="5AD0AEC6" w14:textId="77777777" w:rsidR="00E14DF0" w:rsidRPr="00E14DF0" w:rsidRDefault="00E14DF0" w:rsidP="004237A9">
      <w:pPr>
        <w:widowControl w:val="0"/>
        <w:autoSpaceDE w:val="0"/>
        <w:autoSpaceDN w:val="0"/>
        <w:adjustRightInd w:val="0"/>
        <w:jc w:val="both"/>
        <w:rPr>
          <w:rFonts w:ascii="Times New Roman" w:hAnsi="Times New Roman" w:cs="Times New Roman"/>
          <w:color w:val="191919"/>
        </w:rPr>
      </w:pPr>
      <w:r w:rsidRPr="00E14DF0">
        <w:rPr>
          <w:rFonts w:ascii="Times New Roman" w:hAnsi="Times New Roman" w:cs="Times New Roman"/>
          <w:color w:val="191919"/>
        </w:rPr>
        <w:t>The purpose of health development towards healthy Indonesia is to increase awareness, willingness and ability to live healthy for every person in order to realize the optimal level of public health through the creation of Indonesian society, nation and state characterized by people living and behaving in a healthy environment, having the ability to reach the service health quality in a fair and equitable manner and has an optimal health status in all regions of the Republic of Indonesia (1)</w:t>
      </w:r>
    </w:p>
    <w:p w14:paraId="12CDC0F1" w14:textId="77777777" w:rsidR="00E14DF0" w:rsidRPr="00E14DF0" w:rsidRDefault="00E14DF0" w:rsidP="004237A9">
      <w:pPr>
        <w:widowControl w:val="0"/>
        <w:autoSpaceDE w:val="0"/>
        <w:autoSpaceDN w:val="0"/>
        <w:adjustRightInd w:val="0"/>
        <w:jc w:val="both"/>
        <w:rPr>
          <w:rFonts w:ascii="Times New Roman" w:hAnsi="Times New Roman" w:cs="Times New Roman"/>
          <w:color w:val="191919"/>
        </w:rPr>
      </w:pPr>
      <w:r w:rsidRPr="00E14DF0">
        <w:rPr>
          <w:rFonts w:ascii="Times New Roman" w:hAnsi="Times New Roman" w:cs="Times New Roman"/>
          <w:color w:val="191919"/>
        </w:rPr>
        <w:t>Increased health status starts from society's behavior toward health. One of the Government's priorities in improving health status is by promoting and preventing disease (preventive) from curative and rehabilitative healing. Currently the Government's focus is on the prevention of infectious diseases because the cases are initially declining or not found, in recent years tends to increase, especially in sexually transmitted diseases. (1)</w:t>
      </w:r>
    </w:p>
    <w:p w14:paraId="47D0D678" w14:textId="77777777" w:rsidR="008C2E9B" w:rsidRPr="008C2E9B" w:rsidRDefault="00E14DF0" w:rsidP="004237A9">
      <w:pPr>
        <w:widowControl w:val="0"/>
        <w:autoSpaceDE w:val="0"/>
        <w:autoSpaceDN w:val="0"/>
        <w:adjustRightInd w:val="0"/>
        <w:jc w:val="both"/>
        <w:rPr>
          <w:rFonts w:ascii="Times New Roman" w:hAnsi="Times New Roman" w:cs="Times New Roman"/>
          <w:color w:val="191919"/>
        </w:rPr>
      </w:pPr>
      <w:r w:rsidRPr="00E14DF0">
        <w:rPr>
          <w:rFonts w:ascii="Times New Roman" w:hAnsi="Times New Roman" w:cs="Times New Roman"/>
          <w:color w:val="191919"/>
        </w:rPr>
        <w:t xml:space="preserve">Sexually transmitted diseases or sexually transmitted infections are sexually transmitted diseases. Since 1998, the term Sexual Transmitted Disease (STD) has begun to transform into Sexually Transmitted Infection (STI), in order to reach </w:t>
      </w:r>
      <w:r w:rsidRPr="00E14DF0">
        <w:rPr>
          <w:rFonts w:ascii="Times New Roman" w:hAnsi="Times New Roman" w:cs="Times New Roman"/>
          <w:color w:val="191919"/>
        </w:rPr>
        <w:lastRenderedPageBreak/>
        <w:t xml:space="preserve">asymptomatic sufferers (Daili, 2009). According to the World Health Organization (WHO) in 2009, there are approximately 30 types of microbes (bacteria, viruses and parasites) that can be transmitted through sexual contact. The most common conditions are Gonorrhea, Chalmydia, Syphilis, Tricomoniasis, Chancroid, Herpes genetalia, human immunodeficiency virus (HIV) and hepatitis B infection. Some of them, HIV and syphilis, can also be transmitted from the </w:t>
      </w:r>
      <w:r w:rsidRPr="008C2E9B">
        <w:rPr>
          <w:rFonts w:ascii="Times New Roman" w:hAnsi="Times New Roman" w:cs="Times New Roman"/>
          <w:color w:val="191919"/>
        </w:rPr>
        <w:t>mother</w:t>
      </w:r>
      <w:r w:rsidR="008C2E9B" w:rsidRPr="008C2E9B">
        <w:rPr>
          <w:rFonts w:ascii="Times New Roman" w:hAnsi="Times New Roman" w:cs="Times New Roman"/>
          <w:color w:val="191919"/>
        </w:rPr>
        <w:t xml:space="preserve"> to her child during pregnancy and birth, and through blood and body tissues (1,2.</w:t>
      </w:r>
    </w:p>
    <w:p w14:paraId="31C08F63" w14:textId="77777777" w:rsidR="008C2E9B" w:rsidRPr="008C2E9B" w:rsidRDefault="008C2E9B" w:rsidP="004237A9">
      <w:pPr>
        <w:widowControl w:val="0"/>
        <w:autoSpaceDE w:val="0"/>
        <w:autoSpaceDN w:val="0"/>
        <w:adjustRightInd w:val="0"/>
        <w:jc w:val="both"/>
        <w:rPr>
          <w:rFonts w:ascii="Times New Roman" w:hAnsi="Times New Roman" w:cs="Times New Roman"/>
          <w:color w:val="191919"/>
        </w:rPr>
      </w:pPr>
      <w:r w:rsidRPr="008C2E9B">
        <w:rPr>
          <w:rFonts w:ascii="Times New Roman" w:hAnsi="Times New Roman" w:cs="Times New Roman"/>
          <w:color w:val="191919"/>
        </w:rPr>
        <w:t>Until now sexually transmitted infections are still a health, social and economic problem in many countries (WHO, 2003). Increased incidence of sexually transmitted infections and their worldwide distribution can not be accurately estimated. In some countries it is mentioned that intensive counseling programs will reduce the incidence of sexually transmitted infections or at least relatively constant incidence. However, in most countries the incidence of sexually transmitted infections remains relatively high (Judge, 2003).</w:t>
      </w:r>
    </w:p>
    <w:p w14:paraId="4349A1FB" w14:textId="77777777" w:rsidR="008C2E9B" w:rsidRPr="008C2E9B" w:rsidRDefault="008C2E9B" w:rsidP="004237A9">
      <w:pPr>
        <w:widowControl w:val="0"/>
        <w:autoSpaceDE w:val="0"/>
        <w:autoSpaceDN w:val="0"/>
        <w:adjustRightInd w:val="0"/>
        <w:jc w:val="both"/>
        <w:rPr>
          <w:rFonts w:ascii="Times New Roman" w:hAnsi="Times New Roman" w:cs="Times New Roman"/>
          <w:color w:val="191919"/>
        </w:rPr>
      </w:pPr>
      <w:r w:rsidRPr="008C2E9B">
        <w:rPr>
          <w:rFonts w:ascii="Times New Roman" w:hAnsi="Times New Roman" w:cs="Times New Roman"/>
          <w:color w:val="191919"/>
        </w:rPr>
        <w:t>The rate of distribution is difficult to source, because no registration was ever performed on the patient. Increased incidence of STDs and their spread worldwide can not be accurately estimated. In some countries it is mentioned that intensive counseling programs will reduce the incidence of STIs or at least relatively fixed incidents. However, in most countries, the incidence of STIs is still relatively high and every year several million new cases and their medical complications include sterility, disability, pregnancy disorders, growth disorders, cancer and even deaths need to be addressed, thus increasing healthcare costs. In addition, the pattern of infection also changes, such as chlamydia infection, genital herpes, and condyloma akuminata in some countries tend to increase compared to uretritis gonorrhea and syphilis. (1,2)</w:t>
      </w:r>
    </w:p>
    <w:p w14:paraId="5F7F6C81" w14:textId="77777777" w:rsidR="008C2E9B" w:rsidRPr="008C2E9B" w:rsidRDefault="008C2E9B" w:rsidP="004237A9">
      <w:pPr>
        <w:widowControl w:val="0"/>
        <w:autoSpaceDE w:val="0"/>
        <w:autoSpaceDN w:val="0"/>
        <w:adjustRightInd w:val="0"/>
        <w:jc w:val="both"/>
        <w:rPr>
          <w:rFonts w:ascii="Times New Roman" w:hAnsi="Times New Roman" w:cs="Times New Roman"/>
          <w:color w:val="191919"/>
        </w:rPr>
      </w:pPr>
      <w:r w:rsidRPr="008C2E9B">
        <w:rPr>
          <w:rFonts w:ascii="Times New Roman" w:hAnsi="Times New Roman" w:cs="Times New Roman"/>
          <w:color w:val="191919"/>
        </w:rPr>
        <w:t>According to 1999 WHO estimates, 340 million new cases of curable PMS (syphilis, gonorrhea, chlamydia and trichomoniasis) occur annually worldwide in adults aged 15-49. (This is the most recent available data, In developing countries, STIs and their complications are in the top five categories of mature diseases seeking health care.Infections with STIs can cause acute symptoms, chronic infections and serious delayed consequences such as infertility, ectopic pregnancy, cervical cancer and sudden death of infants and adults.</w:t>
      </w:r>
    </w:p>
    <w:p w14:paraId="367277F7" w14:textId="77777777" w:rsidR="008C2E9B" w:rsidRPr="008C2E9B" w:rsidRDefault="008C2E9B" w:rsidP="004237A9">
      <w:pPr>
        <w:widowControl w:val="0"/>
        <w:autoSpaceDE w:val="0"/>
        <w:autoSpaceDN w:val="0"/>
        <w:adjustRightInd w:val="0"/>
        <w:jc w:val="both"/>
        <w:rPr>
          <w:rFonts w:ascii="Times New Roman" w:hAnsi="Times New Roman" w:cs="Times New Roman"/>
          <w:color w:val="191919"/>
        </w:rPr>
      </w:pPr>
      <w:r w:rsidRPr="008C2E9B">
        <w:rPr>
          <w:rFonts w:ascii="Times New Roman" w:hAnsi="Times New Roman" w:cs="Times New Roman"/>
          <w:color w:val="191919"/>
        </w:rPr>
        <w:t>Sexually Transmitted Infections (STIs) are one of the first ten causes of illness in young adult males and the second largest cause of young adulthood in developing countries. Adults and adolescents (15-24 years) account for 25% of all sexually active populations, but contribute almost 50% of all newly acquired STI cases. This reflects the limitations of "screening" and low coverage of STIs (Da Ros, 2008).</w:t>
      </w:r>
    </w:p>
    <w:p w14:paraId="051271DB" w14:textId="77777777" w:rsidR="008C2E9B" w:rsidRPr="008C2E9B" w:rsidRDefault="008C2E9B" w:rsidP="004237A9">
      <w:pPr>
        <w:widowControl w:val="0"/>
        <w:autoSpaceDE w:val="0"/>
        <w:autoSpaceDN w:val="0"/>
        <w:adjustRightInd w:val="0"/>
        <w:jc w:val="both"/>
        <w:rPr>
          <w:rFonts w:ascii="Times New Roman" w:hAnsi="Times New Roman" w:cs="Times New Roman"/>
          <w:color w:val="191919"/>
        </w:rPr>
      </w:pPr>
      <w:r w:rsidRPr="008C2E9B">
        <w:rPr>
          <w:rFonts w:ascii="Times New Roman" w:hAnsi="Times New Roman" w:cs="Times New Roman"/>
          <w:color w:val="191919"/>
        </w:rPr>
        <w:t>The level of knowledge on how to reduce the risk of infection is generally low. This is indicated by 32% of women and 42.7% of men know that limiting sex to only one non-infected partner as a means of reducing the risk of transmission, 28.4% of women and 43.3% agree that not having sex will reduce the likelihood of being infected and 27.5% of women and 40.5% of men said the use of condoms</w:t>
      </w:r>
      <w:r>
        <w:rPr>
          <w:rFonts w:ascii="Times New Roman" w:hAnsi="Times New Roman" w:cs="Times New Roman"/>
          <w:color w:val="191919"/>
        </w:rPr>
        <w:t xml:space="preserve"> </w:t>
      </w:r>
      <w:r w:rsidRPr="008C2E9B">
        <w:rPr>
          <w:rFonts w:ascii="Times New Roman" w:hAnsi="Times New Roman" w:cs="Times New Roman"/>
          <w:color w:val="191919"/>
        </w:rPr>
        <w:t>regularly reduces the likelihood of infection, while transmission of HIV / AIDS in Makassar has increased annually. The number has reached 2,711 cases. The largest transmission of HIV / AIDS through injecting drugs is around 67 percent and this spread is particularly vulnerable among drug users, psychotropics and addictive substances (Napza). The biggest risk is especially if the syringe is used interchangeably by the user. This number has increased by more than 300 cases since last June 2010. (3)</w:t>
      </w:r>
    </w:p>
    <w:p w14:paraId="2FA6A059" w14:textId="77777777" w:rsidR="008C2E9B" w:rsidRPr="008C2E9B" w:rsidRDefault="008C2E9B" w:rsidP="004237A9">
      <w:pPr>
        <w:widowControl w:val="0"/>
        <w:autoSpaceDE w:val="0"/>
        <w:autoSpaceDN w:val="0"/>
        <w:adjustRightInd w:val="0"/>
        <w:jc w:val="both"/>
        <w:rPr>
          <w:rFonts w:ascii="Times New Roman" w:hAnsi="Times New Roman" w:cs="Times New Roman"/>
          <w:color w:val="191919"/>
        </w:rPr>
      </w:pPr>
      <w:r w:rsidRPr="008C2E9B">
        <w:rPr>
          <w:rFonts w:ascii="Times New Roman" w:hAnsi="Times New Roman" w:cs="Times New Roman"/>
          <w:color w:val="191919"/>
        </w:rPr>
        <w:t xml:space="preserve">From the data and facts above, it is clear that sexually transmitted infections have become a separate problem for the government. The high incidence of sexually </w:t>
      </w:r>
      <w:r w:rsidRPr="008C2E9B">
        <w:rPr>
          <w:rFonts w:ascii="Times New Roman" w:hAnsi="Times New Roman" w:cs="Times New Roman"/>
          <w:color w:val="191919"/>
        </w:rPr>
        <w:lastRenderedPageBreak/>
        <w:t>transmitted infections among adolescents and young adults, is evidence that low knowledge of adolescents will be sexually transmitted infections. This may be due to the lack of counseling provided by the government and other health agencies.</w:t>
      </w:r>
    </w:p>
    <w:p w14:paraId="0DA06978" w14:textId="26623C3E" w:rsidR="00E14DF0" w:rsidRDefault="008C2E9B" w:rsidP="004237A9">
      <w:pPr>
        <w:jc w:val="both"/>
        <w:rPr>
          <w:rFonts w:ascii="Times New Roman" w:hAnsi="Times New Roman" w:cs="Times New Roman"/>
          <w:color w:val="191919"/>
        </w:rPr>
      </w:pPr>
      <w:r w:rsidRPr="008C2E9B">
        <w:rPr>
          <w:rFonts w:ascii="Times New Roman" w:hAnsi="Times New Roman" w:cs="Times New Roman"/>
          <w:color w:val="191919"/>
        </w:rPr>
        <w:t>Therefore, the Researcher wishes to see "Characteristics of Sexually Transmitted Infections at Ibnu Sina Hospital Makassar January2011-June 2012"</w:t>
      </w:r>
    </w:p>
    <w:p w14:paraId="684989DF" w14:textId="77777777" w:rsidR="00B35D38" w:rsidRDefault="00B35D38" w:rsidP="004237A9">
      <w:pPr>
        <w:jc w:val="both"/>
        <w:rPr>
          <w:rFonts w:ascii="Times New Roman" w:hAnsi="Times New Roman" w:cs="Times New Roman"/>
          <w:color w:val="191919"/>
        </w:rPr>
      </w:pPr>
    </w:p>
    <w:p w14:paraId="08E6F8A1" w14:textId="1FDCF376" w:rsidR="00B35D38" w:rsidRDefault="00B35D38" w:rsidP="004237A9">
      <w:pPr>
        <w:jc w:val="both"/>
        <w:rPr>
          <w:rFonts w:ascii="Times New Roman" w:hAnsi="Times New Roman" w:cs="Times New Roman"/>
          <w:b/>
          <w:color w:val="191919"/>
        </w:rPr>
      </w:pPr>
      <w:r w:rsidRPr="00B35D38">
        <w:rPr>
          <w:rFonts w:ascii="Times New Roman" w:hAnsi="Times New Roman" w:cs="Times New Roman"/>
          <w:b/>
          <w:color w:val="191919"/>
        </w:rPr>
        <w:t>MATERIAL AND METHODS</w:t>
      </w:r>
    </w:p>
    <w:p w14:paraId="0336D4B6" w14:textId="72C0F591" w:rsidR="000F4D0E" w:rsidRPr="000F4D0E" w:rsidRDefault="000F4D0E" w:rsidP="004237A9">
      <w:pPr>
        <w:widowControl w:val="0"/>
        <w:autoSpaceDE w:val="0"/>
        <w:autoSpaceDN w:val="0"/>
        <w:adjustRightInd w:val="0"/>
        <w:jc w:val="both"/>
        <w:rPr>
          <w:rFonts w:ascii="Times New Roman" w:hAnsi="Times New Roman" w:cs="Times New Roman"/>
          <w:color w:val="191919"/>
        </w:rPr>
      </w:pPr>
      <w:r w:rsidRPr="000F4D0E">
        <w:rPr>
          <w:rFonts w:ascii="Times New Roman" w:hAnsi="Times New Roman" w:cs="Times New Roman"/>
          <w:color w:val="191919"/>
        </w:rPr>
        <w:t>Types of research</w:t>
      </w:r>
      <w:r>
        <w:rPr>
          <w:rFonts w:ascii="Times New Roman" w:hAnsi="Times New Roman" w:cs="Times New Roman"/>
          <w:color w:val="191919"/>
        </w:rPr>
        <w:t xml:space="preserve">. </w:t>
      </w:r>
      <w:r w:rsidRPr="000F4D0E">
        <w:rPr>
          <w:rFonts w:ascii="Times New Roman" w:hAnsi="Times New Roman" w:cs="Times New Roman"/>
          <w:color w:val="191919"/>
        </w:rPr>
        <w:t>The research method used is descriptive survey research using secondary data, while research design is retrospective.</w:t>
      </w:r>
      <w:r>
        <w:rPr>
          <w:rFonts w:ascii="Times New Roman" w:hAnsi="Times New Roman" w:cs="Times New Roman"/>
          <w:color w:val="191919"/>
        </w:rPr>
        <w:t xml:space="preserve"> </w:t>
      </w:r>
      <w:r w:rsidRPr="000F4D0E">
        <w:rPr>
          <w:rFonts w:ascii="Times New Roman" w:hAnsi="Times New Roman" w:cs="Times New Roman"/>
          <w:color w:val="191919"/>
        </w:rPr>
        <w:t>Location and Time of Research</w:t>
      </w:r>
    </w:p>
    <w:p w14:paraId="2E63792A" w14:textId="488F86EB" w:rsidR="000F4D0E" w:rsidRPr="000F4D0E" w:rsidRDefault="000F4D0E" w:rsidP="004237A9">
      <w:pPr>
        <w:widowControl w:val="0"/>
        <w:autoSpaceDE w:val="0"/>
        <w:autoSpaceDN w:val="0"/>
        <w:adjustRightInd w:val="0"/>
        <w:jc w:val="both"/>
        <w:rPr>
          <w:rFonts w:ascii="Times New Roman" w:hAnsi="Times New Roman" w:cs="Times New Roman"/>
          <w:color w:val="191919"/>
        </w:rPr>
      </w:pPr>
      <w:r w:rsidRPr="000F4D0E">
        <w:rPr>
          <w:rFonts w:ascii="Times New Roman" w:hAnsi="Times New Roman" w:cs="Times New Roman"/>
          <w:color w:val="191919"/>
        </w:rPr>
        <w:t>This research was conducted at Ibnu Sina Hospital Makassar Period from January 2011 to June 2012. The data were collected from August 13 to August 26, 2012.</w:t>
      </w:r>
      <w:r>
        <w:rPr>
          <w:rFonts w:ascii="Times New Roman" w:hAnsi="Times New Roman" w:cs="Times New Roman"/>
          <w:color w:val="191919"/>
        </w:rPr>
        <w:t xml:space="preserve"> </w:t>
      </w:r>
      <w:r w:rsidRPr="000F4D0E">
        <w:rPr>
          <w:rFonts w:ascii="Times New Roman" w:hAnsi="Times New Roman" w:cs="Times New Roman"/>
          <w:color w:val="191919"/>
        </w:rPr>
        <w:t>Population</w:t>
      </w:r>
      <w:r>
        <w:rPr>
          <w:rFonts w:ascii="Times New Roman" w:hAnsi="Times New Roman" w:cs="Times New Roman"/>
          <w:color w:val="191919"/>
        </w:rPr>
        <w:t xml:space="preserve">, </w:t>
      </w:r>
      <w:r w:rsidRPr="000F4D0E">
        <w:rPr>
          <w:rFonts w:ascii="Times New Roman" w:hAnsi="Times New Roman" w:cs="Times New Roman"/>
          <w:color w:val="191919"/>
        </w:rPr>
        <w:t>The study population were all patients diagnosed with STIs at Ibnu Sina Hospital Makassar Period from January 2011 to June 2012.</w:t>
      </w:r>
      <w:r>
        <w:rPr>
          <w:rFonts w:ascii="Times New Roman" w:hAnsi="Times New Roman" w:cs="Times New Roman"/>
          <w:color w:val="191919"/>
        </w:rPr>
        <w:t xml:space="preserve"> </w:t>
      </w:r>
      <w:r w:rsidRPr="000F4D0E">
        <w:rPr>
          <w:rFonts w:ascii="Times New Roman" w:hAnsi="Times New Roman" w:cs="Times New Roman"/>
          <w:color w:val="191919"/>
        </w:rPr>
        <w:t>Research Sample</w:t>
      </w:r>
      <w:r>
        <w:rPr>
          <w:rFonts w:ascii="Times New Roman" w:hAnsi="Times New Roman" w:cs="Times New Roman"/>
          <w:color w:val="191919"/>
        </w:rPr>
        <w:t xml:space="preserve">, </w:t>
      </w:r>
      <w:r w:rsidRPr="000F4D0E">
        <w:rPr>
          <w:rFonts w:ascii="Times New Roman" w:hAnsi="Times New Roman" w:cs="Times New Roman"/>
          <w:color w:val="191919"/>
        </w:rPr>
        <w:t>The samples in this study were all patients who had been diagnosed with sexually transmitted diseases recorded in the book and had inclusion criteria and were in the scope of the ibnu sina makassar hospital.</w:t>
      </w:r>
      <w:r>
        <w:rPr>
          <w:rFonts w:ascii="Times New Roman" w:hAnsi="Times New Roman" w:cs="Times New Roman"/>
          <w:color w:val="191919"/>
        </w:rPr>
        <w:t xml:space="preserve"> </w:t>
      </w:r>
      <w:r w:rsidRPr="000F4D0E">
        <w:rPr>
          <w:rFonts w:ascii="Times New Roman" w:hAnsi="Times New Roman" w:cs="Times New Roman"/>
          <w:color w:val="191919"/>
        </w:rPr>
        <w:t>Inclusion criteria: Recorded patients who have a medical record.</w:t>
      </w:r>
      <w:r>
        <w:rPr>
          <w:rFonts w:ascii="Times New Roman" w:hAnsi="Times New Roman" w:cs="Times New Roman"/>
          <w:color w:val="191919"/>
        </w:rPr>
        <w:t xml:space="preserve"> </w:t>
      </w:r>
      <w:r w:rsidRPr="000F4D0E">
        <w:rPr>
          <w:rFonts w:ascii="Times New Roman" w:hAnsi="Times New Roman" w:cs="Times New Roman"/>
          <w:color w:val="191919"/>
        </w:rPr>
        <w:t>Exclusion criteria:</w:t>
      </w:r>
      <w:r>
        <w:rPr>
          <w:rFonts w:ascii="Times New Roman" w:hAnsi="Times New Roman" w:cs="Times New Roman"/>
          <w:color w:val="191919"/>
        </w:rPr>
        <w:t xml:space="preserve"> </w:t>
      </w:r>
      <w:r w:rsidRPr="000F4D0E">
        <w:rPr>
          <w:rFonts w:ascii="Times New Roman" w:hAnsi="Times New Roman" w:cs="Times New Roman"/>
          <w:color w:val="191919"/>
        </w:rPr>
        <w:t>The patient does not have a Medical Record</w:t>
      </w:r>
      <w:r>
        <w:rPr>
          <w:rFonts w:ascii="Times New Roman" w:hAnsi="Times New Roman" w:cs="Times New Roman"/>
          <w:color w:val="191919"/>
        </w:rPr>
        <w:t xml:space="preserve"> and </w:t>
      </w:r>
      <w:r w:rsidRPr="000F4D0E">
        <w:rPr>
          <w:rFonts w:ascii="Times New Roman" w:hAnsi="Times New Roman" w:cs="Times New Roman"/>
          <w:color w:val="191919"/>
        </w:rPr>
        <w:t>Patients who have a Medical Record but the required data is incomplete</w:t>
      </w:r>
      <w:r>
        <w:rPr>
          <w:rFonts w:ascii="Times New Roman" w:hAnsi="Times New Roman" w:cs="Times New Roman"/>
          <w:color w:val="191919"/>
        </w:rPr>
        <w:t xml:space="preserve">. </w:t>
      </w:r>
      <w:r w:rsidRPr="000F4D0E">
        <w:rPr>
          <w:rFonts w:ascii="Times New Roman" w:hAnsi="Times New Roman" w:cs="Times New Roman"/>
          <w:color w:val="191919"/>
        </w:rPr>
        <w:t>How to Get Data</w:t>
      </w:r>
      <w:r>
        <w:rPr>
          <w:rFonts w:ascii="Times New Roman" w:hAnsi="Times New Roman" w:cs="Times New Roman"/>
          <w:color w:val="191919"/>
        </w:rPr>
        <w:t xml:space="preserve">, </w:t>
      </w:r>
      <w:r w:rsidRPr="000F4D0E">
        <w:rPr>
          <w:rFonts w:ascii="Times New Roman" w:hAnsi="Times New Roman" w:cs="Times New Roman"/>
          <w:color w:val="191919"/>
        </w:rPr>
        <w:t>The data taken are secondary data obtained from medical record books of patients with sexually transmitted diseases at Ibnu Sina Hospital Makassar Period January 2011-June 2012.</w:t>
      </w:r>
      <w:r>
        <w:rPr>
          <w:rFonts w:ascii="Times New Roman" w:hAnsi="Times New Roman" w:cs="Times New Roman"/>
          <w:color w:val="191919"/>
        </w:rPr>
        <w:t xml:space="preserve"> </w:t>
      </w:r>
      <w:r w:rsidRPr="000F4D0E">
        <w:rPr>
          <w:rFonts w:ascii="Times New Roman" w:hAnsi="Times New Roman" w:cs="Times New Roman"/>
          <w:color w:val="191919"/>
        </w:rPr>
        <w:t>Data Management</w:t>
      </w:r>
      <w:r>
        <w:rPr>
          <w:rFonts w:ascii="Times New Roman" w:hAnsi="Times New Roman" w:cs="Times New Roman"/>
          <w:color w:val="191919"/>
        </w:rPr>
        <w:t xml:space="preserve">, </w:t>
      </w:r>
      <w:r w:rsidRPr="000F4D0E">
        <w:rPr>
          <w:rFonts w:ascii="Times New Roman" w:hAnsi="Times New Roman" w:cs="Times New Roman"/>
          <w:color w:val="191919"/>
        </w:rPr>
        <w:t>After the data is collected then performed data processing in accordance with the concept of data management:</w:t>
      </w:r>
      <w:r>
        <w:rPr>
          <w:rFonts w:ascii="Times New Roman" w:hAnsi="Times New Roman" w:cs="Times New Roman"/>
          <w:color w:val="191919"/>
        </w:rPr>
        <w:t xml:space="preserve"> </w:t>
      </w:r>
      <w:r w:rsidRPr="000F4D0E">
        <w:rPr>
          <w:rFonts w:ascii="Times New Roman" w:hAnsi="Times New Roman" w:cs="Times New Roman"/>
          <w:color w:val="191919"/>
        </w:rPr>
        <w:t>Coding</w:t>
      </w:r>
      <w:r>
        <w:rPr>
          <w:rFonts w:ascii="Times New Roman" w:hAnsi="Times New Roman" w:cs="Times New Roman"/>
          <w:color w:val="191919"/>
        </w:rPr>
        <w:t xml:space="preserve">, </w:t>
      </w:r>
      <w:r w:rsidRPr="000F4D0E">
        <w:rPr>
          <w:rFonts w:ascii="Times New Roman" w:hAnsi="Times New Roman" w:cs="Times New Roman"/>
          <w:color w:val="191919"/>
        </w:rPr>
        <w:t>The coding of the data obtained to facilitate data processing.</w:t>
      </w:r>
      <w:r>
        <w:rPr>
          <w:rFonts w:ascii="Times New Roman" w:hAnsi="Times New Roman" w:cs="Times New Roman"/>
          <w:color w:val="191919"/>
        </w:rPr>
        <w:t xml:space="preserve"> </w:t>
      </w:r>
      <w:r w:rsidRPr="000F4D0E">
        <w:rPr>
          <w:rFonts w:ascii="Times New Roman" w:hAnsi="Times New Roman" w:cs="Times New Roman"/>
          <w:color w:val="191919"/>
        </w:rPr>
        <w:t>Editing</w:t>
      </w:r>
      <w:r>
        <w:rPr>
          <w:rFonts w:ascii="Times New Roman" w:hAnsi="Times New Roman" w:cs="Times New Roman"/>
          <w:color w:val="191919"/>
        </w:rPr>
        <w:t xml:space="preserve"> </w:t>
      </w:r>
      <w:r w:rsidRPr="000F4D0E">
        <w:rPr>
          <w:rFonts w:ascii="Times New Roman" w:hAnsi="Times New Roman" w:cs="Times New Roman"/>
          <w:color w:val="191919"/>
        </w:rPr>
        <w:t>Re-checking data to avoid data errors, ensuring data is complete and correct.</w:t>
      </w:r>
      <w:r>
        <w:rPr>
          <w:rFonts w:ascii="Times New Roman" w:hAnsi="Times New Roman" w:cs="Times New Roman"/>
          <w:color w:val="191919"/>
        </w:rPr>
        <w:t xml:space="preserve"> </w:t>
      </w:r>
      <w:r w:rsidRPr="000F4D0E">
        <w:rPr>
          <w:rFonts w:ascii="Times New Roman" w:hAnsi="Times New Roman" w:cs="Times New Roman"/>
          <w:color w:val="191919"/>
        </w:rPr>
        <w:t>Tabulating</w:t>
      </w:r>
    </w:p>
    <w:p w14:paraId="6C67DD73" w14:textId="08A93588" w:rsidR="000F4D0E" w:rsidRPr="000F4D0E" w:rsidRDefault="000F4D0E" w:rsidP="004237A9">
      <w:pPr>
        <w:widowControl w:val="0"/>
        <w:autoSpaceDE w:val="0"/>
        <w:autoSpaceDN w:val="0"/>
        <w:adjustRightInd w:val="0"/>
        <w:jc w:val="both"/>
        <w:rPr>
          <w:rFonts w:ascii="Times New Roman" w:hAnsi="Times New Roman" w:cs="Times New Roman"/>
          <w:color w:val="191919"/>
        </w:rPr>
      </w:pPr>
      <w:r w:rsidRPr="000F4D0E">
        <w:rPr>
          <w:rFonts w:ascii="Times New Roman" w:hAnsi="Times New Roman" w:cs="Times New Roman"/>
          <w:color w:val="191919"/>
        </w:rPr>
        <w:t>Creation of frequency tables of the variables studied for easy understanding. Cleaning</w:t>
      </w:r>
    </w:p>
    <w:p w14:paraId="7A74A777" w14:textId="77A6FFFE" w:rsidR="00B35D38" w:rsidRDefault="000F4D0E" w:rsidP="004237A9">
      <w:pPr>
        <w:widowControl w:val="0"/>
        <w:autoSpaceDE w:val="0"/>
        <w:autoSpaceDN w:val="0"/>
        <w:adjustRightInd w:val="0"/>
        <w:jc w:val="both"/>
        <w:rPr>
          <w:rFonts w:ascii="Times New Roman" w:hAnsi="Times New Roman" w:cs="Times New Roman"/>
          <w:color w:val="191919"/>
        </w:rPr>
      </w:pPr>
      <w:r w:rsidRPr="000F4D0E">
        <w:rPr>
          <w:rFonts w:ascii="Times New Roman" w:hAnsi="Times New Roman" w:cs="Times New Roman"/>
          <w:color w:val="191919"/>
        </w:rPr>
        <w:t>Reevaluate data to avoid errors in data repetition.</w:t>
      </w:r>
      <w:r>
        <w:rPr>
          <w:rFonts w:ascii="Times New Roman" w:hAnsi="Times New Roman" w:cs="Times New Roman"/>
          <w:color w:val="191919"/>
        </w:rPr>
        <w:t xml:space="preserve"> </w:t>
      </w:r>
      <w:r w:rsidRPr="000F4D0E">
        <w:rPr>
          <w:rFonts w:ascii="Times New Roman" w:hAnsi="Times New Roman" w:cs="Times New Roman"/>
          <w:color w:val="191919"/>
        </w:rPr>
        <w:t>Data Analysis</w:t>
      </w:r>
      <w:r>
        <w:rPr>
          <w:rFonts w:ascii="Times New Roman" w:hAnsi="Times New Roman" w:cs="Times New Roman"/>
          <w:color w:val="191919"/>
        </w:rPr>
        <w:t xml:space="preserve">, </w:t>
      </w:r>
      <w:r w:rsidRPr="000F4D0E">
        <w:rPr>
          <w:rFonts w:ascii="Times New Roman" w:hAnsi="Times New Roman" w:cs="Times New Roman"/>
          <w:color w:val="191919"/>
        </w:rPr>
        <w:t>Analysis of data used in this study is univariate analysis is the analysis used to describe descriptively to see the frequency distribution of the variables in both the dependent and independent variables.</w:t>
      </w:r>
      <w:r>
        <w:rPr>
          <w:rFonts w:ascii="Times New Roman" w:hAnsi="Times New Roman" w:cs="Times New Roman"/>
          <w:color w:val="191919"/>
        </w:rPr>
        <w:t xml:space="preserve"> </w:t>
      </w:r>
      <w:r w:rsidRPr="000F4D0E">
        <w:rPr>
          <w:rFonts w:ascii="Times New Roman" w:hAnsi="Times New Roman" w:cs="Times New Roman"/>
          <w:color w:val="191919"/>
        </w:rPr>
        <w:t xml:space="preserve"> Data Presentation</w:t>
      </w:r>
      <w:r>
        <w:rPr>
          <w:rFonts w:ascii="Times New Roman" w:hAnsi="Times New Roman" w:cs="Times New Roman"/>
          <w:color w:val="191919"/>
        </w:rPr>
        <w:t xml:space="preserve"> </w:t>
      </w:r>
      <w:r w:rsidRPr="000F4D0E">
        <w:rPr>
          <w:rFonts w:ascii="Times New Roman" w:hAnsi="Times New Roman" w:cs="Times New Roman"/>
          <w:color w:val="191919"/>
        </w:rPr>
        <w:t>The collected data is presented in narrative form and frequency distribution table and using cross tabulation.</w:t>
      </w:r>
    </w:p>
    <w:p w14:paraId="47EB572E" w14:textId="2A7C52A8" w:rsidR="00B13761" w:rsidRDefault="00B13761" w:rsidP="004237A9">
      <w:pPr>
        <w:widowControl w:val="0"/>
        <w:autoSpaceDE w:val="0"/>
        <w:autoSpaceDN w:val="0"/>
        <w:adjustRightInd w:val="0"/>
        <w:jc w:val="both"/>
        <w:rPr>
          <w:rFonts w:ascii="Times New Roman" w:hAnsi="Times New Roman" w:cs="Times New Roman"/>
          <w:b/>
          <w:color w:val="191919"/>
        </w:rPr>
      </w:pPr>
      <w:r w:rsidRPr="00B13761">
        <w:rPr>
          <w:rFonts w:ascii="Times New Roman" w:hAnsi="Times New Roman" w:cs="Times New Roman"/>
          <w:b/>
          <w:color w:val="191919"/>
        </w:rPr>
        <w:t>RESULT</w:t>
      </w:r>
    </w:p>
    <w:p w14:paraId="718F72B5" w14:textId="0632E2E3" w:rsidR="0056441E" w:rsidRDefault="00832140" w:rsidP="004237A9">
      <w:pPr>
        <w:widowControl w:val="0"/>
        <w:autoSpaceDE w:val="0"/>
        <w:autoSpaceDN w:val="0"/>
        <w:adjustRightInd w:val="0"/>
        <w:jc w:val="both"/>
        <w:rPr>
          <w:rFonts w:ascii="Times New Roman" w:hAnsi="Times New Roman" w:cs="Times New Roman"/>
          <w:color w:val="191919"/>
        </w:rPr>
      </w:pPr>
      <w:r w:rsidRPr="00832140">
        <w:rPr>
          <w:rFonts w:ascii="Times New Roman" w:hAnsi="Times New Roman" w:cs="Times New Roman"/>
          <w:color w:val="191919"/>
        </w:rPr>
        <w:t>The results showed that respondents suffered from condyloma akuminata disease were 26 people (52,9%) and HIV / AIDS 18 people (36,0%) and at least those who suffered bacterial vaginosis, Vulvovaginalis and Vaginitis Candidiasis were 1 person ( 2.0%).</w:t>
      </w:r>
      <w:r>
        <w:rPr>
          <w:rFonts w:ascii="Times New Roman" w:hAnsi="Times New Roman" w:cs="Times New Roman"/>
          <w:color w:val="191919"/>
        </w:rPr>
        <w:t xml:space="preserve"> </w:t>
      </w:r>
      <w:r w:rsidRPr="00832140">
        <w:rPr>
          <w:rFonts w:ascii="Times New Roman" w:hAnsi="Times New Roman" w:cs="Times New Roman"/>
          <w:color w:val="191919"/>
        </w:rPr>
        <w:t>Generally condyloma akuminata Age is one factor that is very instrumental in the transmission of Sexually Transmitted Infections. Patients with the biggest condyloma akuminata is the age group of active and sexually active, Age at first sexual intercourse, Age at first sexual intercourse affect reproduction health. Young age during sexual intercourse first increases the risk of acylated condyloma in women. Individual hygiene also plays a role in increasing the transmission of STIs, because other than through sexual relations, agents</w:t>
      </w:r>
      <w:r>
        <w:rPr>
          <w:rFonts w:ascii="Times New Roman" w:hAnsi="Times New Roman" w:cs="Times New Roman"/>
          <w:color w:val="191919"/>
        </w:rPr>
        <w:t xml:space="preserve"> </w:t>
      </w:r>
      <w:r w:rsidRPr="00832140">
        <w:rPr>
          <w:rFonts w:ascii="Times New Roman" w:hAnsi="Times New Roman" w:cs="Times New Roman"/>
          <w:color w:val="191919"/>
        </w:rPr>
        <w:t>Condylomata akuminata can also be transmitted through skin contact, towels, clothing and other equipment, Condylomata Akuminata is a disease transmitted through HUS, but Sonnex (1999) proved that condylomata akuminata can be transmitted through the hands of HPV-contaminated hands.</w:t>
      </w:r>
      <w:r>
        <w:rPr>
          <w:rFonts w:ascii="Times New Roman" w:hAnsi="Times New Roman" w:cs="Times New Roman"/>
          <w:color w:val="191919"/>
        </w:rPr>
        <w:t xml:space="preserve"> </w:t>
      </w:r>
      <w:r w:rsidR="00760A53" w:rsidRPr="00760A53">
        <w:rPr>
          <w:rFonts w:ascii="Times New Roman" w:hAnsi="Times New Roman" w:cs="Times New Roman"/>
          <w:color w:val="191919"/>
        </w:rPr>
        <w:t>This study was conducted at Ibnu Sina Hospital Makassar on 21 August samapai 31 August 2012 with the number of patients with sexually transmitted infections as many as 50 people. The data that has been collected through the medical record is then inputted to the computer and analyzed using the SPSS program.</w:t>
      </w:r>
      <w:r w:rsidR="00760A53">
        <w:rPr>
          <w:rFonts w:ascii="Times New Roman" w:hAnsi="Times New Roman" w:cs="Times New Roman"/>
          <w:color w:val="191919"/>
        </w:rPr>
        <w:t xml:space="preserve"> </w:t>
      </w:r>
      <w:r w:rsidR="00760A53" w:rsidRPr="00760A53">
        <w:rPr>
          <w:rFonts w:ascii="Times New Roman" w:hAnsi="Times New Roman" w:cs="Times New Roman"/>
          <w:color w:val="191919"/>
        </w:rPr>
        <w:t>The result of data processing is shown in tabular form along with explanation. The results of the study as follows:</w:t>
      </w:r>
      <w:r w:rsidR="00760A53">
        <w:rPr>
          <w:rFonts w:ascii="Times New Roman" w:hAnsi="Times New Roman" w:cs="Times New Roman"/>
          <w:color w:val="191919"/>
        </w:rPr>
        <w:t xml:space="preserve"> </w:t>
      </w:r>
      <w:r w:rsidR="00760A53" w:rsidRPr="00760A53">
        <w:rPr>
          <w:rFonts w:ascii="Times New Roman" w:hAnsi="Times New Roman" w:cs="Times New Roman"/>
          <w:color w:val="191919"/>
        </w:rPr>
        <w:t>Distribution of Research Variables</w:t>
      </w:r>
      <w:r w:rsidR="00760A53">
        <w:rPr>
          <w:rFonts w:ascii="Times New Roman" w:hAnsi="Times New Roman" w:cs="Times New Roman"/>
          <w:color w:val="191919"/>
        </w:rPr>
        <w:t xml:space="preserve"> </w:t>
      </w:r>
      <w:r w:rsidR="00760A53" w:rsidRPr="00760A53">
        <w:rPr>
          <w:rFonts w:ascii="Times New Roman" w:hAnsi="Times New Roman" w:cs="Times New Roman"/>
          <w:color w:val="191919"/>
        </w:rPr>
        <w:t xml:space="preserve">The research variables are </w:t>
      </w:r>
      <w:r w:rsidR="00760A53" w:rsidRPr="00760A53">
        <w:rPr>
          <w:rFonts w:ascii="Times New Roman" w:hAnsi="Times New Roman" w:cs="Times New Roman"/>
          <w:color w:val="191919"/>
        </w:rPr>
        <w:lastRenderedPageBreak/>
        <w:t>age, sex, education and occupation and sexual diseases.</w:t>
      </w:r>
      <w:r w:rsidR="00760A53">
        <w:rPr>
          <w:rFonts w:ascii="Times New Roman" w:hAnsi="Times New Roman" w:cs="Times New Roman"/>
          <w:color w:val="191919"/>
        </w:rPr>
        <w:t xml:space="preserve"> </w:t>
      </w:r>
      <w:r w:rsidR="00760A53" w:rsidRPr="00760A53">
        <w:rPr>
          <w:rFonts w:ascii="Times New Roman" w:hAnsi="Times New Roman" w:cs="Times New Roman"/>
          <w:color w:val="191919"/>
        </w:rPr>
        <w:t>Age group</w:t>
      </w:r>
      <w:r w:rsidR="005D6292">
        <w:rPr>
          <w:rFonts w:ascii="Times New Roman" w:hAnsi="Times New Roman" w:cs="Times New Roman"/>
          <w:color w:val="191919"/>
        </w:rPr>
        <w:t xml:space="preserve"> (graph</w:t>
      </w:r>
      <w:r w:rsidR="00760A53">
        <w:rPr>
          <w:rFonts w:ascii="Times New Roman" w:hAnsi="Times New Roman" w:cs="Times New Roman"/>
          <w:color w:val="191919"/>
        </w:rPr>
        <w:t xml:space="preserve"> 1).</w:t>
      </w:r>
      <w:r w:rsidR="005D6292" w:rsidRPr="005D6292">
        <w:rPr>
          <w:rFonts w:ascii="Times New Roman" w:hAnsi="Times New Roman" w:cs="Times New Roman"/>
          <w:color w:val="191919"/>
        </w:rPr>
        <w:t xml:space="preserve"> shows that respondents generally have aged 20-30 years as many as 32 people (64.0%) while at least those aged less than 20 years ie</w:t>
      </w:r>
      <w:r w:rsidR="00257E1D">
        <w:rPr>
          <w:rFonts w:ascii="Times New Roman" w:hAnsi="Times New Roman" w:cs="Times New Roman"/>
          <w:color w:val="191919"/>
        </w:rPr>
        <w:t xml:space="preserve"> 5 people (10.0%)</w:t>
      </w:r>
      <w:r w:rsidR="005D6292">
        <w:rPr>
          <w:rFonts w:ascii="Times New Roman" w:hAnsi="Times New Roman" w:cs="Times New Roman"/>
          <w:color w:val="191919"/>
        </w:rPr>
        <w:t>.</w:t>
      </w:r>
      <w:r w:rsidR="00CE0152">
        <w:rPr>
          <w:rFonts w:ascii="Times New Roman" w:hAnsi="Times New Roman" w:cs="Times New Roman"/>
          <w:color w:val="191919"/>
        </w:rPr>
        <w:t xml:space="preserve"> In pie</w:t>
      </w:r>
      <w:r w:rsidR="00CE0152" w:rsidRPr="00CE0152">
        <w:rPr>
          <w:rFonts w:ascii="Times New Roman" w:hAnsi="Times New Roman" w:cs="Times New Roman"/>
          <w:color w:val="191919"/>
        </w:rPr>
        <w:t xml:space="preserve"> 2 shows that respondents generally have female gender as many as 29 people (58.0%) while male respondents are 21 people (42,0%). This can also be</w:t>
      </w:r>
      <w:r w:rsidR="00CE0152">
        <w:rPr>
          <w:rFonts w:ascii="Times New Roman" w:hAnsi="Times New Roman" w:cs="Times New Roman"/>
          <w:color w:val="191919"/>
        </w:rPr>
        <w:t xml:space="preserve"> seen. </w:t>
      </w:r>
      <w:r w:rsidR="00257E1D">
        <w:rPr>
          <w:rFonts w:ascii="Times New Roman" w:hAnsi="Times New Roman" w:cs="Times New Roman"/>
          <w:color w:val="191919"/>
        </w:rPr>
        <w:t>graph</w:t>
      </w:r>
      <w:r w:rsidR="00257E1D" w:rsidRPr="00257E1D">
        <w:rPr>
          <w:rFonts w:ascii="Times New Roman" w:hAnsi="Times New Roman" w:cs="Times New Roman"/>
          <w:color w:val="191919"/>
        </w:rPr>
        <w:t xml:space="preserve"> 3 shows that generally respondents have elementary education that is 19 people (38,0%) whereas at least 2 not att</w:t>
      </w:r>
      <w:r w:rsidR="00257E1D">
        <w:rPr>
          <w:rFonts w:ascii="Times New Roman" w:hAnsi="Times New Roman" w:cs="Times New Roman"/>
          <w:color w:val="191919"/>
        </w:rPr>
        <w:t>end school (4.0%).</w:t>
      </w:r>
      <w:r w:rsidR="00F4233E">
        <w:rPr>
          <w:rFonts w:ascii="Times New Roman" w:hAnsi="Times New Roman" w:cs="Times New Roman"/>
          <w:color w:val="191919"/>
        </w:rPr>
        <w:t xml:space="preserve"> In graph</w:t>
      </w:r>
      <w:r w:rsidR="00F4233E" w:rsidRPr="00F4233E">
        <w:rPr>
          <w:rFonts w:ascii="Times New Roman" w:hAnsi="Times New Roman" w:cs="Times New Roman"/>
          <w:color w:val="191919"/>
        </w:rPr>
        <w:t xml:space="preserve"> 4 shows that respondents generally work as commercial sex workers (CSWs) of 20 people (38.5%) and at least 2 workers (3.8%) work as laborers. The occupation of most respondents is comme</w:t>
      </w:r>
      <w:r w:rsidR="00F4233E">
        <w:rPr>
          <w:rFonts w:ascii="Times New Roman" w:hAnsi="Times New Roman" w:cs="Times New Roman"/>
          <w:color w:val="191919"/>
        </w:rPr>
        <w:t>rcial sex workers. graph</w:t>
      </w:r>
      <w:r w:rsidR="00F4233E" w:rsidRPr="00F4233E">
        <w:rPr>
          <w:rFonts w:ascii="Times New Roman" w:hAnsi="Times New Roman" w:cs="Times New Roman"/>
          <w:color w:val="191919"/>
        </w:rPr>
        <w:t xml:space="preserve"> 5 shows that respondents generally suffered from 26 cases of Candiloma akuminata disease (52.9%) and HIV / AIDS 18 people (36.0%) and at least those with vaginal bacteria, Vulvovaginalis and Vaginitis each</w:t>
      </w:r>
      <w:r w:rsidR="00F4233E">
        <w:rPr>
          <w:rFonts w:ascii="Times New Roman" w:hAnsi="Times New Roman" w:cs="Times New Roman"/>
          <w:color w:val="191919"/>
        </w:rPr>
        <w:t xml:space="preserve"> 1 person ( 2.0%).</w:t>
      </w:r>
    </w:p>
    <w:p w14:paraId="6936CFC4" w14:textId="77777777" w:rsidR="00832140" w:rsidRDefault="00832140" w:rsidP="004237A9">
      <w:pPr>
        <w:widowControl w:val="0"/>
        <w:autoSpaceDE w:val="0"/>
        <w:autoSpaceDN w:val="0"/>
        <w:adjustRightInd w:val="0"/>
        <w:jc w:val="both"/>
        <w:rPr>
          <w:rFonts w:ascii="Times New Roman" w:hAnsi="Times New Roman" w:cs="Times New Roman"/>
          <w:color w:val="191919"/>
        </w:rPr>
      </w:pPr>
    </w:p>
    <w:p w14:paraId="3F7F40E6" w14:textId="77777777" w:rsidR="0056441E" w:rsidRDefault="0056441E" w:rsidP="004237A9">
      <w:pPr>
        <w:widowControl w:val="0"/>
        <w:autoSpaceDE w:val="0"/>
        <w:autoSpaceDN w:val="0"/>
        <w:adjustRightInd w:val="0"/>
        <w:jc w:val="both"/>
        <w:rPr>
          <w:rFonts w:ascii="Times New Roman" w:hAnsi="Times New Roman" w:cs="Times New Roman"/>
          <w:color w:val="191919"/>
        </w:rPr>
      </w:pPr>
    </w:p>
    <w:p w14:paraId="0C404CB8" w14:textId="19CBEE3C" w:rsidR="0056441E" w:rsidRDefault="0056441E" w:rsidP="004237A9">
      <w:pPr>
        <w:widowControl w:val="0"/>
        <w:autoSpaceDE w:val="0"/>
        <w:autoSpaceDN w:val="0"/>
        <w:adjustRightInd w:val="0"/>
        <w:jc w:val="both"/>
        <w:rPr>
          <w:rFonts w:ascii="Times New Roman" w:hAnsi="Times New Roman" w:cs="Times New Roman"/>
          <w:b/>
          <w:color w:val="191919"/>
        </w:rPr>
      </w:pPr>
      <w:r w:rsidRPr="0056441E">
        <w:rPr>
          <w:rFonts w:ascii="Times New Roman" w:hAnsi="Times New Roman" w:cs="Times New Roman"/>
          <w:b/>
          <w:color w:val="191919"/>
        </w:rPr>
        <w:t>DISCUSSION</w:t>
      </w:r>
    </w:p>
    <w:p w14:paraId="2D2CBE08" w14:textId="747B4824" w:rsidR="00A06811" w:rsidRPr="00A06811" w:rsidRDefault="00A06811" w:rsidP="004237A9">
      <w:pPr>
        <w:widowControl w:val="0"/>
        <w:autoSpaceDE w:val="0"/>
        <w:autoSpaceDN w:val="0"/>
        <w:adjustRightInd w:val="0"/>
        <w:jc w:val="both"/>
        <w:rPr>
          <w:rFonts w:ascii="Times New Roman" w:hAnsi="Times New Roman" w:cs="Times New Roman"/>
          <w:color w:val="191919"/>
        </w:rPr>
      </w:pPr>
      <w:r w:rsidRPr="00A06811">
        <w:rPr>
          <w:rFonts w:ascii="Times New Roman" w:hAnsi="Times New Roman" w:cs="Times New Roman"/>
          <w:color w:val="191919"/>
        </w:rPr>
        <w:t xml:space="preserve">Age is one of the characteristic traits of a very important person because age has a close relationship with exposure and a number of diseases are found with various frequencies caused by age. Age also has a relationship with the magnitude of the risk of certain diseases and the nature of resistance in various age groups. </w:t>
      </w:r>
      <w:r>
        <w:rPr>
          <w:rFonts w:ascii="Times New Roman" w:hAnsi="Times New Roman" w:cs="Times New Roman"/>
          <w:color w:val="191919"/>
        </w:rPr>
        <w:t>(</w:t>
      </w:r>
      <w:r w:rsidRPr="00A06811">
        <w:rPr>
          <w:rFonts w:ascii="Times New Roman" w:hAnsi="Times New Roman" w:cs="Times New Roman"/>
          <w:color w:val="191919"/>
        </w:rPr>
        <w:t>16</w:t>
      </w:r>
      <w:r>
        <w:rPr>
          <w:rFonts w:ascii="Times New Roman" w:hAnsi="Times New Roman" w:cs="Times New Roman"/>
          <w:color w:val="191919"/>
        </w:rPr>
        <w:t xml:space="preserve">) </w:t>
      </w:r>
      <w:r w:rsidRPr="00A06811">
        <w:rPr>
          <w:rFonts w:ascii="Times New Roman" w:hAnsi="Times New Roman" w:cs="Times New Roman"/>
          <w:color w:val="191919"/>
        </w:rPr>
        <w:t>The results showed that generally respondents had aged 20-30 years as many as 32 people (64.0%) while at least aged less than 20 years ie 5 people (10.0%). This is because the age of 20-30 years includes the age of brave grazed danger to have sex at risk of having sex with prostitutes or frequent multiple couples and not using condoms.</w:t>
      </w:r>
    </w:p>
    <w:p w14:paraId="0FE98DE0" w14:textId="5D13D0C3" w:rsidR="0056441E" w:rsidRPr="00A06811" w:rsidRDefault="00A06811" w:rsidP="004237A9">
      <w:pPr>
        <w:widowControl w:val="0"/>
        <w:autoSpaceDE w:val="0"/>
        <w:autoSpaceDN w:val="0"/>
        <w:adjustRightInd w:val="0"/>
        <w:jc w:val="both"/>
        <w:rPr>
          <w:rFonts w:ascii="Times New Roman" w:hAnsi="Times New Roman" w:cs="Times New Roman"/>
          <w:color w:val="191919"/>
        </w:rPr>
      </w:pPr>
      <w:r w:rsidRPr="00A06811">
        <w:rPr>
          <w:rFonts w:ascii="Times New Roman" w:hAnsi="Times New Roman" w:cs="Times New Roman"/>
          <w:color w:val="191919"/>
        </w:rPr>
        <w:t>The high prevalence of sexually transmitted infections at the age of 20-30 years is due to large physical activity and production of sex hormones in this age group is very rapid, so that if there is no self-control, it will fall on things that can lead to the transmission of infectious diseases such as HIV and AIDS</w:t>
      </w:r>
      <w:r>
        <w:rPr>
          <w:rFonts w:ascii="Times New Roman" w:hAnsi="Times New Roman" w:cs="Times New Roman"/>
          <w:color w:val="191919"/>
        </w:rPr>
        <w:t xml:space="preserve"> </w:t>
      </w:r>
      <w:r w:rsidRPr="00A06811">
        <w:rPr>
          <w:rFonts w:ascii="Times New Roman" w:hAnsi="Times New Roman" w:cs="Times New Roman"/>
          <w:color w:val="191919"/>
        </w:rPr>
        <w:t>The results of this study in accordance with the study of Da Ros (2008) which states that many suffer from sexually transmitted diseases more at the age of 15-19 years is 32%, while at the age of 20-29 years by 40%.</w:t>
      </w:r>
    </w:p>
    <w:p w14:paraId="1C6E88FF" w14:textId="4845F9F6" w:rsidR="007403B2" w:rsidRPr="007403B2" w:rsidRDefault="007403B2" w:rsidP="004237A9">
      <w:pPr>
        <w:widowControl w:val="0"/>
        <w:autoSpaceDE w:val="0"/>
        <w:autoSpaceDN w:val="0"/>
        <w:adjustRightInd w:val="0"/>
        <w:jc w:val="both"/>
        <w:rPr>
          <w:rFonts w:ascii="Times New Roman" w:hAnsi="Times New Roman" w:cs="Times New Roman"/>
          <w:color w:val="191919"/>
        </w:rPr>
      </w:pPr>
      <w:r w:rsidRPr="007403B2">
        <w:rPr>
          <w:rFonts w:ascii="Times New Roman" w:hAnsi="Times New Roman" w:cs="Times New Roman"/>
          <w:color w:val="191919"/>
        </w:rPr>
        <w:t>Gender is a division of the characteristics of people based on the identification of the sexual organs or the biological division of human beings based on anatomical and physiological appearance. The nature of the sex characteristic types has a fairly close relationship with the nature of exposure and the degree of susceptibility to certain diseases.</w:t>
      </w:r>
      <w:r>
        <w:rPr>
          <w:rFonts w:ascii="Times New Roman" w:hAnsi="Times New Roman" w:cs="Times New Roman"/>
          <w:color w:val="191919"/>
        </w:rPr>
        <w:t xml:space="preserve"> </w:t>
      </w:r>
      <w:r w:rsidRPr="007403B2">
        <w:rPr>
          <w:rFonts w:ascii="Times New Roman" w:hAnsi="Times New Roman" w:cs="Times New Roman"/>
          <w:color w:val="191919"/>
        </w:rPr>
        <w:t>The results showed that generally respondents have female gender as much as 29 people (58.0%) while male respondents as many as 21 people (42.0%).</w:t>
      </w:r>
    </w:p>
    <w:p w14:paraId="1220C833" w14:textId="2F0A83E2" w:rsidR="007403B2" w:rsidRPr="007403B2" w:rsidRDefault="007403B2" w:rsidP="004237A9">
      <w:pPr>
        <w:widowControl w:val="0"/>
        <w:autoSpaceDE w:val="0"/>
        <w:autoSpaceDN w:val="0"/>
        <w:adjustRightInd w:val="0"/>
        <w:jc w:val="both"/>
        <w:rPr>
          <w:rFonts w:ascii="Times New Roman" w:hAnsi="Times New Roman" w:cs="Times New Roman"/>
          <w:color w:val="191919"/>
        </w:rPr>
      </w:pPr>
      <w:r w:rsidRPr="007403B2">
        <w:rPr>
          <w:rFonts w:ascii="Times New Roman" w:hAnsi="Times New Roman" w:cs="Times New Roman"/>
          <w:color w:val="191919"/>
        </w:rPr>
        <w:t>Health problems caused by sexually transmitted infections tend to be more prevalent in women than men, partly because women often have no visible symptoms. This is supported by the majority of respondents are CSWs.</w:t>
      </w:r>
      <w:r>
        <w:rPr>
          <w:rFonts w:ascii="Times New Roman" w:hAnsi="Times New Roman" w:cs="Times New Roman"/>
          <w:color w:val="191919"/>
        </w:rPr>
        <w:t xml:space="preserve"> </w:t>
      </w:r>
      <w:r w:rsidRPr="007403B2">
        <w:rPr>
          <w:rFonts w:ascii="Times New Roman" w:hAnsi="Times New Roman" w:cs="Times New Roman"/>
          <w:color w:val="191919"/>
        </w:rPr>
        <w:t>The presence of men who have sexually transmitted infections is caused generally men have activities outside the home is greater than women so that the opportunity to contact with others is greater than women who stay home more. Men are more involved in office and community activities such as gotong royong, sports activities. So the opportunity to interact with patients will be greater.</w:t>
      </w:r>
      <w:r>
        <w:rPr>
          <w:rFonts w:ascii="Times New Roman" w:hAnsi="Times New Roman" w:cs="Times New Roman"/>
          <w:color w:val="191919"/>
        </w:rPr>
        <w:t xml:space="preserve"> </w:t>
      </w:r>
      <w:r w:rsidRPr="007403B2">
        <w:rPr>
          <w:rFonts w:ascii="Times New Roman" w:hAnsi="Times New Roman" w:cs="Times New Roman"/>
          <w:color w:val="191919"/>
        </w:rPr>
        <w:t>Women who are exposed to sexually transmitted infections are due to their risky occupation as a prostitute who serves many male masher so that the risk of transmitting is higher. In addition it can also be caused due to her husband often snack outside and spread to the wife while doing his duty as a wife.</w:t>
      </w:r>
    </w:p>
    <w:p w14:paraId="568D87FC" w14:textId="547CFC93" w:rsidR="00760A53" w:rsidRDefault="007403B2" w:rsidP="004237A9">
      <w:pPr>
        <w:widowControl w:val="0"/>
        <w:autoSpaceDE w:val="0"/>
        <w:autoSpaceDN w:val="0"/>
        <w:adjustRightInd w:val="0"/>
        <w:jc w:val="both"/>
        <w:rPr>
          <w:rFonts w:ascii="Times New Roman" w:hAnsi="Times New Roman" w:cs="Times New Roman"/>
          <w:color w:val="191919"/>
        </w:rPr>
      </w:pPr>
      <w:r w:rsidRPr="007403B2">
        <w:rPr>
          <w:rFonts w:ascii="Times New Roman" w:hAnsi="Times New Roman" w:cs="Times New Roman"/>
          <w:color w:val="191919"/>
        </w:rPr>
        <w:t xml:space="preserve">Alcohol affects men and women differently, and affects poorly. When we try to look closely at the sexual effects of alcohol on women, we find very discouraging information that raises attention because drinking is becoming more common in </w:t>
      </w:r>
      <w:r w:rsidRPr="007403B2">
        <w:rPr>
          <w:rFonts w:ascii="Times New Roman" w:hAnsi="Times New Roman" w:cs="Times New Roman"/>
          <w:color w:val="191919"/>
        </w:rPr>
        <w:lastRenderedPageBreak/>
        <w:t>women now, even before sensual activities. Much research is being done on the potential dangers and other sexual effects of alcohol on women.</w:t>
      </w:r>
      <w:r>
        <w:rPr>
          <w:rFonts w:ascii="Times New Roman" w:hAnsi="Times New Roman" w:cs="Times New Roman"/>
          <w:color w:val="191919"/>
        </w:rPr>
        <w:t xml:space="preserve"> </w:t>
      </w:r>
      <w:r w:rsidRPr="007403B2">
        <w:rPr>
          <w:rFonts w:ascii="Times New Roman" w:hAnsi="Times New Roman" w:cs="Times New Roman"/>
          <w:color w:val="191919"/>
        </w:rPr>
        <w:t>The sexual effect of alcohol on women becomes clear when we realize how an alcoholic woman suffers from alcohol. The common effects of alcohol on female sexuality can be seen with a decreased ability to achieve orgasm, it will slightly respond to sexual arousal, and the overall sexual response and overall satisfaction is much lower. While under the influence of alcohol, women experience vaginal dryness that makes sex painful. At the same time, it is also noted that some women respond well to beds with moderate alcohol intake.</w:t>
      </w:r>
    </w:p>
    <w:p w14:paraId="287952E8" w14:textId="50D62140" w:rsidR="00142884" w:rsidRPr="00142884" w:rsidRDefault="00142884" w:rsidP="004237A9">
      <w:pPr>
        <w:widowControl w:val="0"/>
        <w:autoSpaceDE w:val="0"/>
        <w:autoSpaceDN w:val="0"/>
        <w:adjustRightInd w:val="0"/>
        <w:jc w:val="both"/>
        <w:rPr>
          <w:rFonts w:ascii="Times New Roman" w:hAnsi="Times New Roman" w:cs="Times New Roman"/>
          <w:color w:val="191919"/>
        </w:rPr>
      </w:pPr>
      <w:r w:rsidRPr="00142884">
        <w:rPr>
          <w:rFonts w:ascii="Times New Roman" w:hAnsi="Times New Roman" w:cs="Times New Roman"/>
          <w:color w:val="191919"/>
        </w:rPr>
        <w:t>Why the sexual effect of alcohol on women is positive in some cases is something that has not been a convincing answer so far. Studies are being conducted as to why many women get negative effects from alcohol on their sexual lives and overall performance, and why some women report feeling good in bed after consuming alcohol. One thing is certain that exposure to alcohol during pregnancy poses problems for newborns that include birth defects, mental retardation, and neurodevelopment problems.</w:t>
      </w:r>
      <w:r>
        <w:rPr>
          <w:rFonts w:ascii="Times New Roman" w:hAnsi="Times New Roman" w:cs="Times New Roman"/>
          <w:color w:val="191919"/>
        </w:rPr>
        <w:t xml:space="preserve"> </w:t>
      </w:r>
      <w:r w:rsidRPr="00142884">
        <w:rPr>
          <w:rFonts w:ascii="Times New Roman" w:hAnsi="Times New Roman" w:cs="Times New Roman"/>
          <w:color w:val="191919"/>
        </w:rPr>
        <w:t>Women who are under the influence of alcohol pay less attention to safety measures when performing sensual activities. They can even engage with people who have the potential to transmit any sexually transmitted diseases. At the same time, they can fail to take preventive measures against pregnancy. In addition, heavy drinking women usually have more sexual partners that in themselves invite more risk of sexually transmitted diseases.</w:t>
      </w:r>
    </w:p>
    <w:p w14:paraId="7214EF56" w14:textId="5D73774E" w:rsidR="00832140" w:rsidRPr="00832140" w:rsidRDefault="00142884" w:rsidP="004237A9">
      <w:pPr>
        <w:widowControl w:val="0"/>
        <w:autoSpaceDE w:val="0"/>
        <w:autoSpaceDN w:val="0"/>
        <w:adjustRightInd w:val="0"/>
        <w:jc w:val="both"/>
        <w:rPr>
          <w:rFonts w:ascii="Times New Roman" w:hAnsi="Times New Roman" w:cs="Times New Roman"/>
          <w:color w:val="191919"/>
        </w:rPr>
      </w:pPr>
      <w:r w:rsidRPr="00832140">
        <w:rPr>
          <w:rFonts w:ascii="Times New Roman" w:hAnsi="Times New Roman" w:cs="Times New Roman"/>
          <w:color w:val="191919"/>
        </w:rPr>
        <w:t>The results showed that generally respondents had elementary education that is 19 people (38.0%) while at least not in school as much as 2 people (4.0%). The level of education of most respondents is SD. This shows that PMS sufferers have lower education. The low education of respondents affects the absorption of access to information on sexually transmitted diseases either from health workers or from electronic media maupuin print media. The number of respondents' low education causes them to have no competence to work. This causes many respondents to work in the informal sector such as prostitutes, laborers, or farmers. The number of women who become CSWs because this job is more physical and appearance is not a skill.</w:t>
      </w:r>
      <w:r w:rsidR="00832140" w:rsidRPr="00832140">
        <w:rPr>
          <w:rFonts w:ascii="Times New Roman" w:hAnsi="Times New Roman" w:cs="Times New Roman"/>
          <w:color w:val="191919"/>
        </w:rPr>
        <w:t xml:space="preserve"> The results of this study are in accordance with the study of Da Ros (2004) which states that many sexually transmitted infections are more schools (64.3%), elementary education 35%, and 18.5% senior high school graduates.</w:t>
      </w:r>
    </w:p>
    <w:p w14:paraId="282EBD57" w14:textId="77777777" w:rsidR="00832140" w:rsidRPr="00832140" w:rsidRDefault="00832140" w:rsidP="004237A9">
      <w:pPr>
        <w:widowControl w:val="0"/>
        <w:autoSpaceDE w:val="0"/>
        <w:autoSpaceDN w:val="0"/>
        <w:adjustRightInd w:val="0"/>
        <w:jc w:val="both"/>
        <w:rPr>
          <w:rFonts w:ascii="Times New Roman" w:hAnsi="Times New Roman" w:cs="Times New Roman"/>
          <w:color w:val="191919"/>
        </w:rPr>
      </w:pPr>
      <w:r w:rsidRPr="00832140">
        <w:rPr>
          <w:rFonts w:ascii="Times New Roman" w:hAnsi="Times New Roman" w:cs="Times New Roman"/>
          <w:color w:val="191919"/>
        </w:rPr>
        <w:t>Occupations are generally more visible from the possibility of specific exposure and the degree or degree of exposure and the magnitude of risk by the nature of the work, work environment and the socio-economic nature of the employee on a particular job.</w:t>
      </w:r>
    </w:p>
    <w:p w14:paraId="59F26BE4" w14:textId="13017BE1" w:rsidR="007403B2" w:rsidRDefault="00832140" w:rsidP="004237A9">
      <w:pPr>
        <w:widowControl w:val="0"/>
        <w:autoSpaceDE w:val="0"/>
        <w:autoSpaceDN w:val="0"/>
        <w:adjustRightInd w:val="0"/>
        <w:jc w:val="both"/>
        <w:rPr>
          <w:rFonts w:ascii="Times New Roman" w:hAnsi="Times New Roman" w:cs="Times New Roman"/>
          <w:color w:val="191919"/>
        </w:rPr>
      </w:pPr>
      <w:r w:rsidRPr="00832140">
        <w:rPr>
          <w:rFonts w:ascii="Times New Roman" w:hAnsi="Times New Roman" w:cs="Times New Roman"/>
          <w:color w:val="191919"/>
        </w:rPr>
        <w:t>The result of the research shows that most of the respondents work as commercial sex workers as much as 20 people (38,5%) and at least 2 workers (3,8%). The low number of CSWs of the respondent's work causes them to have no competence to work. This causes many respondents to work in the informal sector such as prostitutes, laborers, or farmers. The number of women who become CSWs because this job is more physical and appearance is not a skill.</w:t>
      </w:r>
      <w:r>
        <w:rPr>
          <w:rFonts w:ascii="Times New Roman" w:hAnsi="Times New Roman" w:cs="Times New Roman"/>
          <w:color w:val="191919"/>
        </w:rPr>
        <w:t xml:space="preserve"> </w:t>
      </w:r>
      <w:r w:rsidRPr="00832140">
        <w:rPr>
          <w:rFonts w:ascii="Times New Roman" w:hAnsi="Times New Roman" w:cs="Times New Roman"/>
          <w:color w:val="191919"/>
        </w:rPr>
        <w:t>Commercial sex workers are the most at risk of sexually transmitted infections because they are exposed every day to serving unknown customers with health conditions and sometimes not using condoms to prevent transmission of infectious diseases.</w:t>
      </w:r>
      <w:r>
        <w:rPr>
          <w:rFonts w:ascii="Times New Roman" w:hAnsi="Times New Roman" w:cs="Times New Roman"/>
          <w:color w:val="191919"/>
        </w:rPr>
        <w:t xml:space="preserve"> </w:t>
      </w:r>
      <w:r w:rsidRPr="00832140">
        <w:rPr>
          <w:rFonts w:ascii="Times New Roman" w:hAnsi="Times New Roman" w:cs="Times New Roman"/>
          <w:color w:val="191919"/>
        </w:rPr>
        <w:t>Women who work as commercial sex workers, mostly for family economic reasons, so they dare to leave their native land to earn a living, and with low levels of education they eventually fall into commercial sex work.</w:t>
      </w:r>
    </w:p>
    <w:p w14:paraId="3681B8D5" w14:textId="77777777" w:rsidR="004122F4" w:rsidRDefault="004122F4" w:rsidP="004237A9">
      <w:pPr>
        <w:widowControl w:val="0"/>
        <w:autoSpaceDE w:val="0"/>
        <w:autoSpaceDN w:val="0"/>
        <w:adjustRightInd w:val="0"/>
        <w:jc w:val="both"/>
        <w:rPr>
          <w:rFonts w:ascii="Times New Roman" w:hAnsi="Times New Roman" w:cs="Times New Roman"/>
          <w:color w:val="191919"/>
        </w:rPr>
      </w:pPr>
    </w:p>
    <w:p w14:paraId="299C944E" w14:textId="76F22E67" w:rsidR="004122F4" w:rsidRDefault="004122F4" w:rsidP="004237A9">
      <w:pPr>
        <w:widowControl w:val="0"/>
        <w:autoSpaceDE w:val="0"/>
        <w:autoSpaceDN w:val="0"/>
        <w:adjustRightInd w:val="0"/>
        <w:jc w:val="both"/>
        <w:rPr>
          <w:rFonts w:ascii="Times New Roman" w:hAnsi="Times New Roman" w:cs="Times New Roman"/>
          <w:b/>
          <w:color w:val="191919"/>
        </w:rPr>
      </w:pPr>
      <w:r w:rsidRPr="004122F4">
        <w:rPr>
          <w:rFonts w:ascii="Times New Roman" w:hAnsi="Times New Roman" w:cs="Times New Roman"/>
          <w:b/>
          <w:color w:val="191919"/>
        </w:rPr>
        <w:t>CONCLUSION</w:t>
      </w:r>
    </w:p>
    <w:p w14:paraId="43EB1CDB" w14:textId="02046406" w:rsidR="004122F4" w:rsidRDefault="004122F4" w:rsidP="004237A9">
      <w:pPr>
        <w:widowControl w:val="0"/>
        <w:autoSpaceDE w:val="0"/>
        <w:autoSpaceDN w:val="0"/>
        <w:adjustRightInd w:val="0"/>
        <w:jc w:val="both"/>
        <w:rPr>
          <w:rFonts w:ascii="Times New Roman" w:hAnsi="Times New Roman" w:cs="Times New Roman"/>
          <w:color w:val="191919"/>
        </w:rPr>
      </w:pPr>
      <w:r w:rsidRPr="004122F4">
        <w:rPr>
          <w:rFonts w:ascii="Times New Roman" w:hAnsi="Times New Roman" w:cs="Times New Roman"/>
          <w:color w:val="191919"/>
        </w:rPr>
        <w:lastRenderedPageBreak/>
        <w:t>Respondents generally have aged 20-30 years as many as 32 people (64.0%) while at least &lt;20 years ie 5 people (10.0%)</w:t>
      </w:r>
      <w:r>
        <w:rPr>
          <w:rFonts w:ascii="Times New Roman" w:hAnsi="Times New Roman" w:cs="Times New Roman"/>
          <w:color w:val="191919"/>
        </w:rPr>
        <w:t xml:space="preserve"> </w:t>
      </w:r>
      <w:r w:rsidRPr="004122F4">
        <w:rPr>
          <w:rFonts w:ascii="Times New Roman" w:hAnsi="Times New Roman" w:cs="Times New Roman"/>
          <w:color w:val="191919"/>
        </w:rPr>
        <w:t>Respondents generally women as many as 29 people (58.0%) while men 21 people (42.0%).</w:t>
      </w:r>
      <w:r>
        <w:rPr>
          <w:rFonts w:ascii="Times New Roman" w:hAnsi="Times New Roman" w:cs="Times New Roman"/>
          <w:color w:val="191919"/>
        </w:rPr>
        <w:t xml:space="preserve"> </w:t>
      </w:r>
      <w:r w:rsidRPr="004122F4">
        <w:rPr>
          <w:rFonts w:ascii="Times New Roman" w:hAnsi="Times New Roman" w:cs="Times New Roman"/>
          <w:color w:val="191919"/>
        </w:rPr>
        <w:t>Respondents generally have elementary education that is 19 people (38.0%) while at least not in school as much as 2 people (4.0%).</w:t>
      </w:r>
      <w:r>
        <w:rPr>
          <w:rFonts w:ascii="Times New Roman" w:hAnsi="Times New Roman" w:cs="Times New Roman"/>
          <w:color w:val="191919"/>
        </w:rPr>
        <w:t xml:space="preserve"> </w:t>
      </w:r>
      <w:r w:rsidRPr="004122F4">
        <w:rPr>
          <w:rFonts w:ascii="Times New Roman" w:hAnsi="Times New Roman" w:cs="Times New Roman"/>
          <w:color w:val="191919"/>
        </w:rPr>
        <w:t>Respondents generally work as sex workers (Commercial Sex Workers) as many as 20 people (38.5%) and at least respondents who work as laborers as many as 2 people (3.8%).</w:t>
      </w:r>
      <w:r>
        <w:rPr>
          <w:rFonts w:ascii="Times New Roman" w:hAnsi="Times New Roman" w:cs="Times New Roman"/>
          <w:color w:val="191919"/>
        </w:rPr>
        <w:t xml:space="preserve"> </w:t>
      </w:r>
      <w:r w:rsidRPr="004122F4">
        <w:rPr>
          <w:rFonts w:ascii="Times New Roman" w:hAnsi="Times New Roman" w:cs="Times New Roman"/>
          <w:color w:val="191919"/>
        </w:rPr>
        <w:t>Respondent suffering from condyloma akuminata disease as many as 26 people (52,9%) then HIV / AIDS as many as 18 people (36,0%) and at least suffer of bacterial vaginosis, Vulvovaginalis Candidiasis and Vaginitis each 1 person (2.0 %).</w:t>
      </w:r>
    </w:p>
    <w:p w14:paraId="34AD3D8E" w14:textId="77777777" w:rsidR="00696BD6" w:rsidRDefault="00696BD6" w:rsidP="004237A9">
      <w:pPr>
        <w:widowControl w:val="0"/>
        <w:autoSpaceDE w:val="0"/>
        <w:autoSpaceDN w:val="0"/>
        <w:adjustRightInd w:val="0"/>
        <w:jc w:val="both"/>
        <w:rPr>
          <w:rFonts w:ascii="Times New Roman" w:hAnsi="Times New Roman" w:cs="Times New Roman"/>
          <w:color w:val="191919"/>
        </w:rPr>
      </w:pPr>
    </w:p>
    <w:p w14:paraId="751F2E66" w14:textId="4843F9A3" w:rsidR="00696BD6" w:rsidRDefault="00696BD6" w:rsidP="004237A9">
      <w:pPr>
        <w:widowControl w:val="0"/>
        <w:autoSpaceDE w:val="0"/>
        <w:autoSpaceDN w:val="0"/>
        <w:adjustRightInd w:val="0"/>
        <w:jc w:val="both"/>
        <w:rPr>
          <w:rFonts w:ascii="Times New Roman" w:hAnsi="Times New Roman" w:cs="Times New Roman"/>
          <w:b/>
          <w:color w:val="191919"/>
        </w:rPr>
      </w:pPr>
      <w:r w:rsidRPr="00696BD6">
        <w:rPr>
          <w:rFonts w:ascii="Times New Roman" w:hAnsi="Times New Roman" w:cs="Times New Roman"/>
          <w:b/>
          <w:color w:val="191919"/>
        </w:rPr>
        <w:t>ACKNOWLEDGMENT</w:t>
      </w:r>
    </w:p>
    <w:p w14:paraId="72CCC258" w14:textId="1DBED612" w:rsidR="00696BD6" w:rsidRDefault="00696BD6" w:rsidP="004237A9">
      <w:pPr>
        <w:widowControl w:val="0"/>
        <w:autoSpaceDE w:val="0"/>
        <w:autoSpaceDN w:val="0"/>
        <w:adjustRightInd w:val="0"/>
        <w:jc w:val="both"/>
        <w:rPr>
          <w:rFonts w:ascii="Times New Roman" w:hAnsi="Times New Roman" w:cs="Times New Roman"/>
          <w:color w:val="191919"/>
        </w:rPr>
      </w:pPr>
      <w:r w:rsidRPr="00696BD6">
        <w:rPr>
          <w:rFonts w:ascii="Times New Roman" w:hAnsi="Times New Roman" w:cs="Times New Roman"/>
          <w:color w:val="191919"/>
        </w:rPr>
        <w:t>Humbly</w:t>
      </w:r>
      <w:r w:rsidR="003D75E2">
        <w:rPr>
          <w:rFonts w:ascii="Times New Roman" w:hAnsi="Times New Roman" w:cs="Times New Roman"/>
          <w:color w:val="191919"/>
        </w:rPr>
        <w:t xml:space="preserve"> LPDP Indonesia and BUDI (Beasiswa Unggulan Dosen Indonesia) funding this research and give a chance for join this event</w:t>
      </w:r>
      <w:r w:rsidRPr="00696BD6">
        <w:rPr>
          <w:rFonts w:ascii="Times New Roman" w:hAnsi="Times New Roman" w:cs="Times New Roman"/>
          <w:color w:val="191919"/>
        </w:rPr>
        <w:t>, the authors accept an infinite love to my beloved father and mother who has given all her prayers, cares and affection in guiding and educating the writer patiently and sincerely while studying at the Faculty of Medicine.</w:t>
      </w:r>
      <w:r>
        <w:rPr>
          <w:rFonts w:ascii="Times New Roman" w:hAnsi="Times New Roman" w:cs="Times New Roman"/>
          <w:color w:val="191919"/>
        </w:rPr>
        <w:t xml:space="preserve">B </w:t>
      </w:r>
      <w:r w:rsidRPr="00696BD6">
        <w:rPr>
          <w:rFonts w:ascii="Times New Roman" w:hAnsi="Times New Roman" w:cs="Times New Roman"/>
          <w:color w:val="191919"/>
        </w:rPr>
        <w:t>The author is aware that many obstacles have been encountered during the preparation of this scientific paper. But thanks to the support and assistance of various parties, finally the author can pass through these constraints. Therefore, on this occasion with all humility the author conveyed his gratitude</w:t>
      </w:r>
    </w:p>
    <w:p w14:paraId="68E0B005" w14:textId="3600192A" w:rsidR="0000136D" w:rsidRDefault="0000136D" w:rsidP="004237A9">
      <w:pPr>
        <w:widowControl w:val="0"/>
        <w:autoSpaceDE w:val="0"/>
        <w:autoSpaceDN w:val="0"/>
        <w:adjustRightInd w:val="0"/>
        <w:jc w:val="both"/>
        <w:rPr>
          <w:rFonts w:ascii="Times New Roman" w:hAnsi="Times New Roman" w:cs="Times New Roman"/>
          <w:b/>
          <w:color w:val="191919"/>
        </w:rPr>
      </w:pPr>
      <w:r w:rsidRPr="0000136D">
        <w:rPr>
          <w:rFonts w:ascii="Times New Roman" w:hAnsi="Times New Roman" w:cs="Times New Roman"/>
          <w:b/>
          <w:color w:val="191919"/>
        </w:rPr>
        <w:t>REFERENCES</w:t>
      </w:r>
    </w:p>
    <w:p w14:paraId="6236B62E" w14:textId="4E092E6B" w:rsidR="0000136D" w:rsidRPr="0000136D" w:rsidRDefault="0000136D" w:rsidP="004237A9">
      <w:pPr>
        <w:widowControl w:val="0"/>
        <w:autoSpaceDE w:val="0"/>
        <w:autoSpaceDN w:val="0"/>
        <w:adjustRightInd w:val="0"/>
        <w:jc w:val="both"/>
        <w:rPr>
          <w:rFonts w:ascii="Times New Roman" w:hAnsi="Times New Roman" w:cs="Times New Roman"/>
          <w:color w:val="191919"/>
        </w:rPr>
      </w:pPr>
      <w:r>
        <w:rPr>
          <w:rFonts w:ascii="Times New Roman" w:hAnsi="Times New Roman" w:cs="Times New Roman"/>
          <w:color w:val="191919"/>
        </w:rPr>
        <w:t>1.</w:t>
      </w:r>
      <w:r w:rsidRPr="0000136D">
        <w:rPr>
          <w:rFonts w:ascii="Times New Roman" w:hAnsi="Times New Roman" w:cs="Times New Roman"/>
          <w:color w:val="191919"/>
        </w:rPr>
        <w:t>Eddy widodo.April 2010.Dalam prevention of sexually transmitted diseases.Diakses on 7Juni2012.http: //www.dinkes.com/data+dinas+health+infectibles+menular+</w:t>
      </w:r>
    </w:p>
    <w:p w14:paraId="67F7EE88"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sexual + in + indonesia</w:t>
      </w:r>
    </w:p>
    <w:p w14:paraId="2D86BFDC"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2. Soedarto. June 2011. Localization of Prostitution. Retrieved on July 28, 2012. www.depkes.co.id/downloads/Psikososial.PDF+Communication + localization + commercial + workplace &amp; hl.id &amp; ct = clnk &amp; ed = 2</w:t>
      </w:r>
    </w:p>
    <w:p w14:paraId="257B1658"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3. Rachmat Latief.Maret 2010. Sexually transmitted diseases in Makassar Accessed on 7 June 2012.http: //dinkes-sulsel.go.id/new/index.php? Option = com</w:t>
      </w:r>
    </w:p>
    <w:p w14:paraId="7E14E304"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4.. Mulyadi. January 2011. Sex Every Night Strengthens Happiness. Retrieved on July 28, 2012. http://www.cyberforums.us/showpost.php?p=214946&amp;postcount=1</w:t>
      </w:r>
    </w:p>
    <w:p w14:paraId="02560160"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5. Agustini, Sheila. May 7, 2012. Beauty, Health, Smart n Happy Women. Retrieved on July 29, 2012. dewinthaocean.multiply.com/journal/item/67</w:t>
      </w:r>
    </w:p>
    <w:p w14:paraId="387F6929"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6. Fitzpatrick R. et.al. 1989. The Life Styles and Health Behavior of the Men Health Education Journal. Vol. 48. No. 3. 131-133</w:t>
      </w:r>
    </w:p>
    <w:p w14:paraId="0AF226F6"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7. Hirshfield. D. et, al. 2011. Risk Factors for Sexually Transmitted Diseases among Men who have Sex with Men Recruited through the Internet. National Library of Medicine. Vol 7. No 30</w:t>
      </w:r>
    </w:p>
    <w:p w14:paraId="06CD666A"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8. Kalina O. et.al. 2011. Psychological and Behavioural Factors Associated with Sexual Risk Behavior Among Slovak Students. BMC Publich Health Journal. Vol. 9. No. 15</w:t>
      </w:r>
    </w:p>
    <w:p w14:paraId="10DEA915"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9. Suswardana. et, al. 2011. Sexually Transmitted Infections In Prostitutes in Yogyakarta: Studies on Risk Factors The high prevalence of HIV. Medica journal. Vol 33. No 7.July 2007. 443-444</w:t>
      </w:r>
    </w:p>
    <w:p w14:paraId="4909436D"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10. Daili, Sjaiful Fahmi; et al. 2007. Sexually Transmitted Diseases. Issue 2. Jakarta: Balai Pustaka FKUI</w:t>
      </w:r>
    </w:p>
    <w:p w14:paraId="036C7A4D"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11. Zubeir, Farida; Department of Health Skin and Sex Science FKUI / RSCM</w:t>
      </w:r>
    </w:p>
    <w:p w14:paraId="739C9D4F"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12. Jakarta. "The Great Imitator" and friends. Retrieved on July 30, 2012. http://tonang.blogsome.com/category/1/</w:t>
      </w:r>
    </w:p>
    <w:p w14:paraId="5A4BC886"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 xml:space="preserve">13. Phiel, Evelyn J. Sexual Relations Disease. In: Price Sylvia Anderson, Wilson </w:t>
      </w:r>
      <w:r w:rsidRPr="0000136D">
        <w:rPr>
          <w:rFonts w:ascii="Times New Roman" w:hAnsi="Times New Roman" w:cs="Times New Roman"/>
          <w:color w:val="191919"/>
        </w:rPr>
        <w:lastRenderedPageBreak/>
        <w:t>Lorraine. M. Pathophysiology Clinical Concept of Disease Processes 2. Ed: 4. Jakarta: EGC2008</w:t>
      </w:r>
    </w:p>
    <w:p w14:paraId="28589B04" w14:textId="77777777" w:rsidR="0000136D" w:rsidRP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14. C.A. Holden &amp; J. Berth-Jones. Textbook of Dermatology: in Tony Burns Breathnach, Neil Cox, Christopher Griffiths Editors, Rook's Textbook of Dermatology-7th ed 2006</w:t>
      </w:r>
    </w:p>
    <w:p w14:paraId="3CD236A7" w14:textId="6A3FB63A" w:rsidR="0000136D" w:rsidRDefault="0000136D" w:rsidP="004237A9">
      <w:pPr>
        <w:widowControl w:val="0"/>
        <w:autoSpaceDE w:val="0"/>
        <w:autoSpaceDN w:val="0"/>
        <w:adjustRightInd w:val="0"/>
        <w:jc w:val="both"/>
        <w:rPr>
          <w:rFonts w:ascii="Times New Roman" w:hAnsi="Times New Roman" w:cs="Times New Roman"/>
          <w:color w:val="191919"/>
        </w:rPr>
      </w:pPr>
      <w:r w:rsidRPr="0000136D">
        <w:rPr>
          <w:rFonts w:ascii="Times New Roman" w:hAnsi="Times New Roman" w:cs="Times New Roman"/>
          <w:color w:val="191919"/>
        </w:rPr>
        <w:t>15. Dewi, Sandraf. November 11, 2011. Antibiotics. Retrieved on July 2, 2012. sandrafdewi.multiply.com/journal/item/28/ANTIBIOTIKA</w:t>
      </w:r>
    </w:p>
    <w:p w14:paraId="21DA22C2" w14:textId="77777777" w:rsidR="00C45AB9" w:rsidRDefault="00C45AB9" w:rsidP="004237A9">
      <w:pPr>
        <w:widowControl w:val="0"/>
        <w:autoSpaceDE w:val="0"/>
        <w:autoSpaceDN w:val="0"/>
        <w:adjustRightInd w:val="0"/>
        <w:jc w:val="both"/>
        <w:rPr>
          <w:rFonts w:ascii="Times New Roman" w:hAnsi="Times New Roman" w:cs="Times New Roman"/>
          <w:color w:val="191919"/>
        </w:rPr>
      </w:pPr>
    </w:p>
    <w:p w14:paraId="4874329C" w14:textId="2CC6651D" w:rsidR="00C45AB9" w:rsidRDefault="00C45AB9" w:rsidP="004237A9">
      <w:pPr>
        <w:widowControl w:val="0"/>
        <w:autoSpaceDE w:val="0"/>
        <w:autoSpaceDN w:val="0"/>
        <w:adjustRightInd w:val="0"/>
        <w:jc w:val="both"/>
        <w:rPr>
          <w:rFonts w:ascii="Times New Roman" w:hAnsi="Times New Roman" w:cs="Times New Roman"/>
          <w:b/>
          <w:color w:val="191919"/>
        </w:rPr>
      </w:pPr>
      <w:r w:rsidRPr="00C45AB9">
        <w:rPr>
          <w:rFonts w:ascii="Times New Roman" w:hAnsi="Times New Roman" w:cs="Times New Roman"/>
          <w:b/>
          <w:color w:val="191919"/>
        </w:rPr>
        <w:t>TABLE AND GRAPH</w:t>
      </w:r>
    </w:p>
    <w:p w14:paraId="5221C63A" w14:textId="3CA9B09C" w:rsidR="00C45AB9" w:rsidRDefault="001C738D" w:rsidP="004237A9">
      <w:pPr>
        <w:widowControl w:val="0"/>
        <w:autoSpaceDE w:val="0"/>
        <w:autoSpaceDN w:val="0"/>
        <w:adjustRightInd w:val="0"/>
        <w:jc w:val="both"/>
        <w:rPr>
          <w:rFonts w:ascii="Times New Roman" w:hAnsi="Times New Roman" w:cs="Times New Roman"/>
          <w:b/>
          <w:color w:val="191919"/>
        </w:rPr>
      </w:pPr>
      <w:r>
        <w:rPr>
          <w:rFonts w:ascii="Times New Roman" w:eastAsia="Batang" w:hAnsi="Times New Roman"/>
          <w:noProof/>
          <w:color w:val="000000"/>
        </w:rPr>
        <w:drawing>
          <wp:inline distT="0" distB="0" distL="0" distR="0" wp14:anchorId="54E921AB" wp14:editId="0EBD8487">
            <wp:extent cx="4667002" cy="2766951"/>
            <wp:effectExtent l="19050" t="0" r="19298" b="0"/>
            <wp:docPr id="14"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7A10CD0" w14:textId="77777777" w:rsidR="001C738D" w:rsidRDefault="001C738D" w:rsidP="004237A9">
      <w:pPr>
        <w:widowControl w:val="0"/>
        <w:autoSpaceDE w:val="0"/>
        <w:autoSpaceDN w:val="0"/>
        <w:adjustRightInd w:val="0"/>
        <w:jc w:val="both"/>
        <w:rPr>
          <w:rFonts w:ascii="Times New Roman" w:hAnsi="Times New Roman" w:cs="Times New Roman"/>
          <w:b/>
          <w:color w:val="191919"/>
        </w:rPr>
      </w:pPr>
    </w:p>
    <w:p w14:paraId="6875624C" w14:textId="35358D70" w:rsidR="001C738D" w:rsidRDefault="001C738D" w:rsidP="004237A9">
      <w:pPr>
        <w:widowControl w:val="0"/>
        <w:tabs>
          <w:tab w:val="left" w:pos="1075"/>
        </w:tabs>
        <w:autoSpaceDE w:val="0"/>
        <w:autoSpaceDN w:val="0"/>
        <w:adjustRightInd w:val="0"/>
        <w:jc w:val="both"/>
        <w:rPr>
          <w:rFonts w:ascii="Times New Roman" w:hAnsi="Times New Roman" w:cs="Times New Roman"/>
          <w:b/>
          <w:color w:val="191919"/>
        </w:rPr>
      </w:pPr>
      <w:r>
        <w:rPr>
          <w:rFonts w:ascii="Times New Roman" w:hAnsi="Times New Roman" w:cs="Times New Roman"/>
          <w:b/>
          <w:color w:val="191919"/>
        </w:rPr>
        <w:tab/>
      </w:r>
      <w:r>
        <w:rPr>
          <w:rFonts w:ascii="Times New Roman" w:eastAsia="Batang" w:hAnsi="Times New Roman"/>
          <w:noProof/>
          <w:color w:val="000000"/>
        </w:rPr>
        <w:drawing>
          <wp:inline distT="0" distB="0" distL="0" distR="0" wp14:anchorId="627FC63F" wp14:editId="5AE54071">
            <wp:extent cx="4389049" cy="2329133"/>
            <wp:effectExtent l="19050" t="0" r="11501" b="0"/>
            <wp:docPr id="13"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7E61BEC" w14:textId="77777777" w:rsidR="001C738D" w:rsidRDefault="001C738D" w:rsidP="004237A9">
      <w:pPr>
        <w:widowControl w:val="0"/>
        <w:tabs>
          <w:tab w:val="left" w:pos="1075"/>
        </w:tabs>
        <w:autoSpaceDE w:val="0"/>
        <w:autoSpaceDN w:val="0"/>
        <w:adjustRightInd w:val="0"/>
        <w:jc w:val="both"/>
        <w:rPr>
          <w:rFonts w:ascii="Times New Roman" w:hAnsi="Times New Roman" w:cs="Times New Roman"/>
          <w:b/>
          <w:color w:val="191919"/>
        </w:rPr>
      </w:pPr>
    </w:p>
    <w:p w14:paraId="41CA03A7" w14:textId="421AA186" w:rsidR="001C738D" w:rsidRDefault="001C738D" w:rsidP="004237A9">
      <w:pPr>
        <w:widowControl w:val="0"/>
        <w:tabs>
          <w:tab w:val="left" w:pos="1075"/>
        </w:tabs>
        <w:autoSpaceDE w:val="0"/>
        <w:autoSpaceDN w:val="0"/>
        <w:adjustRightInd w:val="0"/>
        <w:jc w:val="both"/>
        <w:rPr>
          <w:rFonts w:ascii="Times New Roman" w:hAnsi="Times New Roman" w:cs="Times New Roman"/>
          <w:b/>
          <w:color w:val="191919"/>
        </w:rPr>
      </w:pPr>
      <w:r>
        <w:rPr>
          <w:rFonts w:ascii="Times New Roman" w:eastAsia="Batang" w:hAnsi="Times New Roman"/>
          <w:noProof/>
          <w:color w:val="000000"/>
        </w:rPr>
        <w:lastRenderedPageBreak/>
        <w:drawing>
          <wp:inline distT="0" distB="0" distL="0" distR="0" wp14:anchorId="12B376FD" wp14:editId="09E87997">
            <wp:extent cx="4488872" cy="2517569"/>
            <wp:effectExtent l="19050" t="0" r="25978" b="0"/>
            <wp:docPr id="15" name="Object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68D59BE" w14:textId="77777777" w:rsidR="001C738D" w:rsidRDefault="001C738D" w:rsidP="004237A9">
      <w:pPr>
        <w:widowControl w:val="0"/>
        <w:tabs>
          <w:tab w:val="left" w:pos="1075"/>
        </w:tabs>
        <w:autoSpaceDE w:val="0"/>
        <w:autoSpaceDN w:val="0"/>
        <w:adjustRightInd w:val="0"/>
        <w:jc w:val="both"/>
        <w:rPr>
          <w:rFonts w:ascii="Times New Roman" w:hAnsi="Times New Roman" w:cs="Times New Roman"/>
          <w:b/>
          <w:color w:val="191919"/>
        </w:rPr>
      </w:pPr>
    </w:p>
    <w:p w14:paraId="67B8973A" w14:textId="6B1DA372" w:rsidR="001C738D" w:rsidRDefault="001C738D" w:rsidP="004237A9">
      <w:pPr>
        <w:widowControl w:val="0"/>
        <w:tabs>
          <w:tab w:val="left" w:pos="1075"/>
        </w:tabs>
        <w:autoSpaceDE w:val="0"/>
        <w:autoSpaceDN w:val="0"/>
        <w:adjustRightInd w:val="0"/>
        <w:jc w:val="both"/>
        <w:rPr>
          <w:rFonts w:ascii="Times New Roman" w:hAnsi="Times New Roman" w:cs="Times New Roman"/>
          <w:b/>
          <w:color w:val="191919"/>
        </w:rPr>
      </w:pPr>
      <w:r>
        <w:rPr>
          <w:rFonts w:ascii="Times New Roman" w:eastAsia="Batang" w:hAnsi="Times New Roman"/>
          <w:noProof/>
          <w:color w:val="000000"/>
        </w:rPr>
        <w:drawing>
          <wp:inline distT="0" distB="0" distL="0" distR="0" wp14:anchorId="6B143A7B" wp14:editId="02147A72">
            <wp:extent cx="4488815" cy="2280285"/>
            <wp:effectExtent l="19050" t="0" r="26035" b="5715"/>
            <wp:docPr id="16" name="Object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6AA2155" w14:textId="77777777" w:rsidR="001C738D" w:rsidRDefault="001C738D" w:rsidP="004237A9">
      <w:pPr>
        <w:widowControl w:val="0"/>
        <w:tabs>
          <w:tab w:val="left" w:pos="1075"/>
        </w:tabs>
        <w:autoSpaceDE w:val="0"/>
        <w:autoSpaceDN w:val="0"/>
        <w:adjustRightInd w:val="0"/>
        <w:jc w:val="both"/>
        <w:rPr>
          <w:rFonts w:ascii="Times New Roman" w:hAnsi="Times New Roman" w:cs="Times New Roman"/>
          <w:b/>
          <w:color w:val="191919"/>
        </w:rPr>
      </w:pPr>
    </w:p>
    <w:p w14:paraId="27CDA362" w14:textId="5C97BC13" w:rsidR="001C738D" w:rsidRPr="00C45AB9" w:rsidRDefault="001C738D" w:rsidP="004237A9">
      <w:pPr>
        <w:widowControl w:val="0"/>
        <w:tabs>
          <w:tab w:val="left" w:pos="1075"/>
        </w:tabs>
        <w:autoSpaceDE w:val="0"/>
        <w:autoSpaceDN w:val="0"/>
        <w:adjustRightInd w:val="0"/>
        <w:jc w:val="both"/>
        <w:rPr>
          <w:rFonts w:ascii="Times New Roman" w:hAnsi="Times New Roman" w:cs="Times New Roman"/>
          <w:b/>
          <w:color w:val="191919"/>
        </w:rPr>
      </w:pPr>
      <w:r w:rsidRPr="000926F4">
        <w:rPr>
          <w:rFonts w:ascii="Times New Roman" w:eastAsia="Batang" w:hAnsi="Times New Roman"/>
          <w:noProof/>
          <w:color w:val="000000"/>
        </w:rPr>
        <w:drawing>
          <wp:inline distT="0" distB="0" distL="0" distR="0" wp14:anchorId="441711C6" wp14:editId="3CE5C3D0">
            <wp:extent cx="4454114" cy="3597717"/>
            <wp:effectExtent l="0" t="0" r="16510" b="34925"/>
            <wp:docPr id="12" name="Objec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sectPr w:rsidR="001C738D" w:rsidRPr="00C45AB9" w:rsidSect="004C0832">
      <w:footerReference w:type="even" r:id="rId14"/>
      <w:footerReference w:type="default" r:id="rId15"/>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6E7152" w14:textId="77777777" w:rsidR="00220DA2" w:rsidRDefault="00220DA2" w:rsidP="00220DA2">
      <w:r>
        <w:separator/>
      </w:r>
    </w:p>
  </w:endnote>
  <w:endnote w:type="continuationSeparator" w:id="0">
    <w:p w14:paraId="1FC97B9D" w14:textId="77777777" w:rsidR="00220DA2" w:rsidRDefault="00220DA2" w:rsidP="00220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Batang">
    <w:altName w:val="바탕"/>
    <w:charset w:val="81"/>
    <w:family w:val="roman"/>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57C3A4" w14:textId="77777777" w:rsidR="00220DA2" w:rsidRDefault="00220DA2" w:rsidP="006840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B524F5" w14:textId="77777777" w:rsidR="00220DA2" w:rsidRDefault="00220DA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5CB17" w14:textId="77777777" w:rsidR="00220DA2" w:rsidRDefault="00220DA2" w:rsidP="0068407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5923345" w14:textId="77777777" w:rsidR="00220DA2" w:rsidRDefault="00220DA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62900" w14:textId="77777777" w:rsidR="00220DA2" w:rsidRDefault="00220DA2" w:rsidP="00220DA2">
      <w:r>
        <w:separator/>
      </w:r>
    </w:p>
  </w:footnote>
  <w:footnote w:type="continuationSeparator" w:id="0">
    <w:p w14:paraId="251BBDF8" w14:textId="77777777" w:rsidR="00220DA2" w:rsidRDefault="00220DA2" w:rsidP="00220DA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55722"/>
    <w:multiLevelType w:val="hybridMultilevel"/>
    <w:tmpl w:val="436E2DA4"/>
    <w:lvl w:ilvl="0" w:tplc="57DE705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817"/>
    <w:rsid w:val="0000136D"/>
    <w:rsid w:val="00052817"/>
    <w:rsid w:val="000F4D0E"/>
    <w:rsid w:val="00142884"/>
    <w:rsid w:val="00182153"/>
    <w:rsid w:val="001C738D"/>
    <w:rsid w:val="00220DA2"/>
    <w:rsid w:val="00257E1D"/>
    <w:rsid w:val="003D75E2"/>
    <w:rsid w:val="004122F4"/>
    <w:rsid w:val="004237A9"/>
    <w:rsid w:val="004C0832"/>
    <w:rsid w:val="0056441E"/>
    <w:rsid w:val="005D6292"/>
    <w:rsid w:val="00696BD6"/>
    <w:rsid w:val="007403B2"/>
    <w:rsid w:val="00760A53"/>
    <w:rsid w:val="00832140"/>
    <w:rsid w:val="008C2E9B"/>
    <w:rsid w:val="00A06811"/>
    <w:rsid w:val="00B13761"/>
    <w:rsid w:val="00B2110D"/>
    <w:rsid w:val="00B35D38"/>
    <w:rsid w:val="00C45AB9"/>
    <w:rsid w:val="00CE0152"/>
    <w:rsid w:val="00CE369B"/>
    <w:rsid w:val="00E14DF0"/>
    <w:rsid w:val="00F423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1E394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0136D"/>
    <w:pPr>
      <w:spacing w:after="200" w:line="276" w:lineRule="auto"/>
      <w:ind w:left="720"/>
      <w:contextualSpacing/>
    </w:pPr>
    <w:rPr>
      <w:rFonts w:ascii="Calibri" w:eastAsia="Calibri" w:hAnsi="Calibri" w:cs="Times New Roman"/>
      <w:sz w:val="22"/>
      <w:szCs w:val="22"/>
    </w:rPr>
  </w:style>
  <w:style w:type="character" w:styleId="Hyperlink">
    <w:name w:val="Hyperlink"/>
    <w:basedOn w:val="DefaultParagraphFont"/>
    <w:rsid w:val="0000136D"/>
    <w:rPr>
      <w:color w:val="0000FF"/>
      <w:u w:val="single"/>
    </w:rPr>
  </w:style>
  <w:style w:type="character" w:customStyle="1" w:styleId="ListParagraphChar">
    <w:name w:val="List Paragraph Char"/>
    <w:link w:val="ListParagraph"/>
    <w:uiPriority w:val="34"/>
    <w:rsid w:val="0000136D"/>
    <w:rPr>
      <w:rFonts w:ascii="Calibri" w:eastAsia="Calibri" w:hAnsi="Calibri" w:cs="Times New Roman"/>
      <w:sz w:val="22"/>
      <w:szCs w:val="22"/>
    </w:rPr>
  </w:style>
  <w:style w:type="paragraph" w:styleId="BalloonText">
    <w:name w:val="Balloon Text"/>
    <w:basedOn w:val="Normal"/>
    <w:link w:val="BalloonTextChar"/>
    <w:uiPriority w:val="99"/>
    <w:semiHidden/>
    <w:unhideWhenUsed/>
    <w:rsid w:val="001C73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38D"/>
    <w:rPr>
      <w:rFonts w:ascii="Lucida Grande" w:hAnsi="Lucida Grande" w:cs="Lucida Grande"/>
      <w:sz w:val="18"/>
      <w:szCs w:val="18"/>
    </w:rPr>
  </w:style>
  <w:style w:type="paragraph" w:styleId="Footer">
    <w:name w:val="footer"/>
    <w:basedOn w:val="Normal"/>
    <w:link w:val="FooterChar"/>
    <w:uiPriority w:val="99"/>
    <w:unhideWhenUsed/>
    <w:rsid w:val="00220DA2"/>
    <w:pPr>
      <w:tabs>
        <w:tab w:val="center" w:pos="4320"/>
        <w:tab w:val="right" w:pos="8640"/>
      </w:tabs>
    </w:pPr>
  </w:style>
  <w:style w:type="character" w:customStyle="1" w:styleId="FooterChar">
    <w:name w:val="Footer Char"/>
    <w:basedOn w:val="DefaultParagraphFont"/>
    <w:link w:val="Footer"/>
    <w:uiPriority w:val="99"/>
    <w:rsid w:val="00220DA2"/>
  </w:style>
  <w:style w:type="character" w:styleId="PageNumber">
    <w:name w:val="page number"/>
    <w:basedOn w:val="DefaultParagraphFont"/>
    <w:uiPriority w:val="99"/>
    <w:semiHidden/>
    <w:unhideWhenUsed/>
    <w:rsid w:val="00220DA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0136D"/>
    <w:pPr>
      <w:spacing w:after="200" w:line="276" w:lineRule="auto"/>
      <w:ind w:left="720"/>
      <w:contextualSpacing/>
    </w:pPr>
    <w:rPr>
      <w:rFonts w:ascii="Calibri" w:eastAsia="Calibri" w:hAnsi="Calibri" w:cs="Times New Roman"/>
      <w:sz w:val="22"/>
      <w:szCs w:val="22"/>
    </w:rPr>
  </w:style>
  <w:style w:type="character" w:styleId="Hyperlink">
    <w:name w:val="Hyperlink"/>
    <w:basedOn w:val="DefaultParagraphFont"/>
    <w:rsid w:val="0000136D"/>
    <w:rPr>
      <w:color w:val="0000FF"/>
      <w:u w:val="single"/>
    </w:rPr>
  </w:style>
  <w:style w:type="character" w:customStyle="1" w:styleId="ListParagraphChar">
    <w:name w:val="List Paragraph Char"/>
    <w:link w:val="ListParagraph"/>
    <w:uiPriority w:val="34"/>
    <w:rsid w:val="0000136D"/>
    <w:rPr>
      <w:rFonts w:ascii="Calibri" w:eastAsia="Calibri" w:hAnsi="Calibri" w:cs="Times New Roman"/>
      <w:sz w:val="22"/>
      <w:szCs w:val="22"/>
    </w:rPr>
  </w:style>
  <w:style w:type="paragraph" w:styleId="BalloonText">
    <w:name w:val="Balloon Text"/>
    <w:basedOn w:val="Normal"/>
    <w:link w:val="BalloonTextChar"/>
    <w:uiPriority w:val="99"/>
    <w:semiHidden/>
    <w:unhideWhenUsed/>
    <w:rsid w:val="001C73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C738D"/>
    <w:rPr>
      <w:rFonts w:ascii="Lucida Grande" w:hAnsi="Lucida Grande" w:cs="Lucida Grande"/>
      <w:sz w:val="18"/>
      <w:szCs w:val="18"/>
    </w:rPr>
  </w:style>
  <w:style w:type="paragraph" w:styleId="Footer">
    <w:name w:val="footer"/>
    <w:basedOn w:val="Normal"/>
    <w:link w:val="FooterChar"/>
    <w:uiPriority w:val="99"/>
    <w:unhideWhenUsed/>
    <w:rsid w:val="00220DA2"/>
    <w:pPr>
      <w:tabs>
        <w:tab w:val="center" w:pos="4320"/>
        <w:tab w:val="right" w:pos="8640"/>
      </w:tabs>
    </w:pPr>
  </w:style>
  <w:style w:type="character" w:customStyle="1" w:styleId="FooterChar">
    <w:name w:val="Footer Char"/>
    <w:basedOn w:val="DefaultParagraphFont"/>
    <w:link w:val="Footer"/>
    <w:uiPriority w:val="99"/>
    <w:rsid w:val="00220DA2"/>
  </w:style>
  <w:style w:type="character" w:styleId="PageNumber">
    <w:name w:val="page number"/>
    <w:basedOn w:val="DefaultParagraphFont"/>
    <w:uiPriority w:val="99"/>
    <w:semiHidden/>
    <w:unhideWhenUsed/>
    <w:rsid w:val="00220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3.xml"/><Relationship Id="rId12" Type="http://schemas.openxmlformats.org/officeDocument/2006/relationships/chart" Target="charts/chart4.xml"/><Relationship Id="rId13" Type="http://schemas.openxmlformats.org/officeDocument/2006/relationships/chart" Target="charts/chart5.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barChart>
        <c:barDir val="col"/>
        <c:grouping val="clustered"/>
        <c:varyColors val="0"/>
        <c:ser>
          <c:idx val="0"/>
          <c:order val="0"/>
          <c:tx>
            <c:strRef>
              <c:f>Sheet1!$B$1</c:f>
              <c:strCache>
                <c:ptCount val="1"/>
                <c:pt idx="0">
                  <c:v>persen</c:v>
                </c:pt>
              </c:strCache>
            </c:strRef>
          </c:tx>
          <c:invertIfNegative val="0"/>
          <c:dLbls>
            <c:showLegendKey val="0"/>
            <c:showVal val="1"/>
            <c:showCatName val="0"/>
            <c:showSerName val="0"/>
            <c:showPercent val="0"/>
            <c:showBubbleSize val="0"/>
            <c:showLeaderLines val="0"/>
          </c:dLbls>
          <c:cat>
            <c:strRef>
              <c:f>Sheet1!$A$2:$A$4</c:f>
              <c:strCache>
                <c:ptCount val="3"/>
                <c:pt idx="0">
                  <c:v>&lt;20</c:v>
                </c:pt>
                <c:pt idx="1">
                  <c:v>20-30</c:v>
                </c:pt>
                <c:pt idx="2">
                  <c:v>&gt;30</c:v>
                </c:pt>
              </c:strCache>
            </c:strRef>
          </c:cat>
          <c:val>
            <c:numRef>
              <c:f>Sheet1!$B$2:$B$4</c:f>
              <c:numCache>
                <c:formatCode>General</c:formatCode>
                <c:ptCount val="3"/>
                <c:pt idx="0">
                  <c:v>10.0</c:v>
                </c:pt>
                <c:pt idx="1">
                  <c:v>64.0</c:v>
                </c:pt>
                <c:pt idx="2">
                  <c:v>26.0</c:v>
                </c:pt>
              </c:numCache>
            </c:numRef>
          </c:val>
        </c:ser>
        <c:dLbls>
          <c:showLegendKey val="0"/>
          <c:showVal val="0"/>
          <c:showCatName val="0"/>
          <c:showSerName val="0"/>
          <c:showPercent val="0"/>
          <c:showBubbleSize val="0"/>
        </c:dLbls>
        <c:gapWidth val="91"/>
        <c:overlap val="6"/>
        <c:axId val="2071931000"/>
        <c:axId val="2071949304"/>
      </c:barChart>
      <c:catAx>
        <c:axId val="2071931000"/>
        <c:scaling>
          <c:orientation val="minMax"/>
        </c:scaling>
        <c:delete val="0"/>
        <c:axPos val="b"/>
        <c:title>
          <c:tx>
            <c:rich>
              <a:bodyPr/>
              <a:lstStyle/>
              <a:p>
                <a:pPr>
                  <a:defRPr/>
                </a:pPr>
                <a:r>
                  <a:rPr lang="en-US"/>
                  <a:t>Kelompok Umur </a:t>
                </a:r>
              </a:p>
            </c:rich>
          </c:tx>
          <c:layout/>
          <c:overlay val="0"/>
        </c:title>
        <c:numFmt formatCode="General" sourceLinked="1"/>
        <c:majorTickMark val="none"/>
        <c:minorTickMark val="none"/>
        <c:tickLblPos val="nextTo"/>
        <c:txPr>
          <a:bodyPr rot="0" vert="horz"/>
          <a:lstStyle/>
          <a:p>
            <a:pPr>
              <a:defRPr/>
            </a:pPr>
            <a:endParaRPr lang="en-US"/>
          </a:p>
        </c:txPr>
        <c:crossAx val="2071949304"/>
        <c:crosses val="autoZero"/>
        <c:auto val="1"/>
        <c:lblAlgn val="ctr"/>
        <c:lblOffset val="100"/>
        <c:tickLblSkip val="1"/>
        <c:tickMarkSkip val="1"/>
        <c:noMultiLvlLbl val="0"/>
      </c:catAx>
      <c:valAx>
        <c:axId val="2071949304"/>
        <c:scaling>
          <c:orientation val="minMax"/>
        </c:scaling>
        <c:delete val="0"/>
        <c:axPos val="l"/>
        <c:majorGridlines/>
        <c:title>
          <c:tx>
            <c:rich>
              <a:bodyPr/>
              <a:lstStyle/>
              <a:p>
                <a:pPr>
                  <a:defRPr/>
                </a:pPr>
                <a:r>
                  <a:rPr lang="en-US"/>
                  <a:t>Persen</a:t>
                </a:r>
              </a:p>
            </c:rich>
          </c:tx>
          <c:layout/>
          <c:overlay val="0"/>
        </c:title>
        <c:numFmt formatCode="General" sourceLinked="1"/>
        <c:majorTickMark val="out"/>
        <c:minorTickMark val="none"/>
        <c:tickLblPos val="nextTo"/>
        <c:txPr>
          <a:bodyPr rot="0" vert="horz"/>
          <a:lstStyle/>
          <a:p>
            <a:pPr>
              <a:defRPr/>
            </a:pPr>
            <a:endParaRPr lang="en-US"/>
          </a:p>
        </c:txPr>
        <c:crossAx val="2071931000"/>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4"/>
    </mc:Choice>
    <mc:Fallback>
      <c:style val="34"/>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0.000430776210055246"/>
          <c:y val="0.210873071733866"/>
          <c:w val="0.803995262948534"/>
          <c:h val="0.581081166679025"/>
        </c:manualLayout>
      </c:layout>
      <c:pie3DChart>
        <c:varyColors val="1"/>
        <c:ser>
          <c:idx val="0"/>
          <c:order val="0"/>
          <c:tx>
            <c:strRef>
              <c:f>Sheet1!$B$1</c:f>
              <c:strCache>
                <c:ptCount val="1"/>
                <c:pt idx="0">
                  <c:v>persentase</c:v>
                </c:pt>
              </c:strCache>
            </c:strRef>
          </c:tx>
          <c:cat>
            <c:strRef>
              <c:f>Sheet1!$A$2:$A$3</c:f>
              <c:strCache>
                <c:ptCount val="2"/>
                <c:pt idx="0">
                  <c:v>laki-laki  </c:v>
                </c:pt>
                <c:pt idx="1">
                  <c:v>perempuan </c:v>
                </c:pt>
              </c:strCache>
            </c:strRef>
          </c:cat>
          <c:val>
            <c:numRef>
              <c:f>Sheet1!$B$2:$B$3</c:f>
              <c:numCache>
                <c:formatCode>General</c:formatCode>
                <c:ptCount val="2"/>
                <c:pt idx="0">
                  <c:v>42.0</c:v>
                </c:pt>
                <c:pt idx="1">
                  <c:v>58.0</c:v>
                </c:pt>
              </c:numCache>
            </c:numRef>
          </c:val>
        </c:ser>
        <c:dLbls>
          <c:showLegendKey val="0"/>
          <c:showVal val="1"/>
          <c:showCatName val="0"/>
          <c:showSerName val="0"/>
          <c:showPercent val="0"/>
          <c:showBubbleSize val="0"/>
          <c:showLeaderLines val="0"/>
        </c:dLbls>
      </c:pie3DChart>
    </c:plotArea>
    <c:legend>
      <c:legendPos val="r"/>
      <c:layout>
        <c:manualLayout>
          <c:xMode val="edge"/>
          <c:yMode val="edge"/>
          <c:x val="0.814158762207151"/>
          <c:y val="0.32243258963054"/>
          <c:w val="0.182515256049"/>
          <c:h val="0.25345690890883"/>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manualLayout>
          <c:layoutTarget val="inner"/>
          <c:xMode val="edge"/>
          <c:yMode val="edge"/>
          <c:x val="0.104059104380789"/>
          <c:y val="0.119462603436965"/>
          <c:w val="0.861865519890076"/>
          <c:h val="0.772462284220785"/>
        </c:manualLayout>
      </c:layout>
      <c:barChart>
        <c:barDir val="col"/>
        <c:grouping val="clustered"/>
        <c:varyColors val="0"/>
        <c:ser>
          <c:idx val="0"/>
          <c:order val="0"/>
          <c:tx>
            <c:strRef>
              <c:f>Sheet1!$B$1</c:f>
              <c:strCache>
                <c:ptCount val="1"/>
                <c:pt idx="0">
                  <c:v>persentase</c:v>
                </c:pt>
              </c:strCache>
            </c:strRef>
          </c:tx>
          <c:invertIfNegative val="0"/>
          <c:dLbls>
            <c:showLegendKey val="0"/>
            <c:showVal val="1"/>
            <c:showCatName val="0"/>
            <c:showSerName val="0"/>
            <c:showPercent val="0"/>
            <c:showBubbleSize val="0"/>
            <c:showLeaderLines val="0"/>
          </c:dLbls>
          <c:cat>
            <c:strRef>
              <c:f>Sheet1!$A$2:$A$7</c:f>
              <c:strCache>
                <c:ptCount val="6"/>
                <c:pt idx="0">
                  <c:v>Tidak Tamat SD</c:v>
                </c:pt>
                <c:pt idx="1">
                  <c:v>Tamat SD</c:v>
                </c:pt>
                <c:pt idx="2">
                  <c:v>SD</c:v>
                </c:pt>
                <c:pt idx="3">
                  <c:v>SMP</c:v>
                </c:pt>
                <c:pt idx="4">
                  <c:v>SMA</c:v>
                </c:pt>
                <c:pt idx="5">
                  <c:v>Perguruan Tinggi </c:v>
                </c:pt>
              </c:strCache>
            </c:strRef>
          </c:cat>
          <c:val>
            <c:numRef>
              <c:f>Sheet1!$B$2:$B$7</c:f>
              <c:numCache>
                <c:formatCode>General</c:formatCode>
                <c:ptCount val="6"/>
                <c:pt idx="0">
                  <c:v>4.0</c:v>
                </c:pt>
                <c:pt idx="1">
                  <c:v>8.0</c:v>
                </c:pt>
                <c:pt idx="2">
                  <c:v>38.0</c:v>
                </c:pt>
                <c:pt idx="3">
                  <c:v>22.0</c:v>
                </c:pt>
                <c:pt idx="4">
                  <c:v>16.0</c:v>
                </c:pt>
                <c:pt idx="5">
                  <c:v>12.0</c:v>
                </c:pt>
              </c:numCache>
            </c:numRef>
          </c:val>
        </c:ser>
        <c:dLbls>
          <c:showLegendKey val="0"/>
          <c:showVal val="0"/>
          <c:showCatName val="0"/>
          <c:showSerName val="0"/>
          <c:showPercent val="0"/>
          <c:showBubbleSize val="0"/>
        </c:dLbls>
        <c:gapWidth val="100"/>
        <c:axId val="2070992104"/>
        <c:axId val="2070989112"/>
      </c:barChart>
      <c:valAx>
        <c:axId val="2070989112"/>
        <c:scaling>
          <c:orientation val="minMax"/>
        </c:scaling>
        <c:delete val="0"/>
        <c:axPos val="l"/>
        <c:majorGridlines/>
        <c:numFmt formatCode="General" sourceLinked="1"/>
        <c:majorTickMark val="out"/>
        <c:minorTickMark val="none"/>
        <c:tickLblPos val="nextTo"/>
        <c:crossAx val="2070992104"/>
        <c:crosses val="autoZero"/>
        <c:crossBetween val="between"/>
      </c:valAx>
      <c:catAx>
        <c:axId val="2070992104"/>
        <c:scaling>
          <c:orientation val="minMax"/>
        </c:scaling>
        <c:delete val="0"/>
        <c:axPos val="b"/>
        <c:majorTickMark val="out"/>
        <c:minorTickMark val="none"/>
        <c:tickLblPos val="nextTo"/>
        <c:crossAx val="2070989112"/>
        <c:crosses val="autoZero"/>
        <c:auto val="1"/>
        <c:lblAlgn val="ctr"/>
        <c:lblOffset val="100"/>
        <c:noMultiLvlLbl val="0"/>
      </c:catAx>
    </c:plotArea>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autoTitleDeleted val="1"/>
    <c:plotArea>
      <c:layout>
        <c:manualLayout>
          <c:layoutTarget val="inner"/>
          <c:xMode val="edge"/>
          <c:yMode val="edge"/>
          <c:x val="0.118204693220817"/>
          <c:y val="0.0655021834061135"/>
          <c:w val="0.844895590484351"/>
          <c:h val="0.816593886462886"/>
        </c:manualLayout>
      </c:layout>
      <c:barChart>
        <c:barDir val="col"/>
        <c:grouping val="clustered"/>
        <c:varyColors val="0"/>
        <c:ser>
          <c:idx val="0"/>
          <c:order val="0"/>
          <c:tx>
            <c:strRef>
              <c:f>Sheet1!$B$1</c:f>
              <c:strCache>
                <c:ptCount val="1"/>
                <c:pt idx="0">
                  <c:v>persentase</c:v>
                </c:pt>
              </c:strCache>
            </c:strRef>
          </c:tx>
          <c:invertIfNegative val="0"/>
          <c:dLbls>
            <c:showLegendKey val="0"/>
            <c:showVal val="1"/>
            <c:showCatName val="0"/>
            <c:showSerName val="0"/>
            <c:showPercent val="0"/>
            <c:showBubbleSize val="0"/>
            <c:showLeaderLines val="0"/>
          </c:dLbls>
          <c:cat>
            <c:strRef>
              <c:f>Sheet1!$A$2:$A$6</c:f>
              <c:strCache>
                <c:ptCount val="5"/>
                <c:pt idx="0">
                  <c:v>PNS</c:v>
                </c:pt>
                <c:pt idx="1">
                  <c:v>Pegawai Swasta</c:v>
                </c:pt>
                <c:pt idx="2">
                  <c:v>PSK</c:v>
                </c:pt>
                <c:pt idx="3">
                  <c:v>Petani </c:v>
                </c:pt>
                <c:pt idx="4">
                  <c:v>Buruh</c:v>
                </c:pt>
              </c:strCache>
            </c:strRef>
          </c:cat>
          <c:val>
            <c:numRef>
              <c:f>Sheet1!$B$2:$B$6</c:f>
              <c:numCache>
                <c:formatCode>General</c:formatCode>
                <c:ptCount val="5"/>
                <c:pt idx="0">
                  <c:v>17.3</c:v>
                </c:pt>
                <c:pt idx="1">
                  <c:v>23.1</c:v>
                </c:pt>
                <c:pt idx="2">
                  <c:v>38.5</c:v>
                </c:pt>
                <c:pt idx="3">
                  <c:v>5.8</c:v>
                </c:pt>
                <c:pt idx="4">
                  <c:v>3.8</c:v>
                </c:pt>
              </c:numCache>
            </c:numRef>
          </c:val>
        </c:ser>
        <c:dLbls>
          <c:showLegendKey val="0"/>
          <c:showVal val="0"/>
          <c:showCatName val="0"/>
          <c:showSerName val="0"/>
          <c:showPercent val="0"/>
          <c:showBubbleSize val="0"/>
        </c:dLbls>
        <c:gapWidth val="100"/>
        <c:axId val="2071020824"/>
        <c:axId val="2071017832"/>
      </c:barChart>
      <c:valAx>
        <c:axId val="2071017832"/>
        <c:scaling>
          <c:orientation val="minMax"/>
        </c:scaling>
        <c:delete val="0"/>
        <c:axPos val="l"/>
        <c:majorGridlines/>
        <c:numFmt formatCode="General" sourceLinked="1"/>
        <c:majorTickMark val="out"/>
        <c:minorTickMark val="none"/>
        <c:tickLblPos val="nextTo"/>
        <c:crossAx val="2071020824"/>
        <c:crosses val="autoZero"/>
        <c:crossBetween val="between"/>
      </c:valAx>
      <c:catAx>
        <c:axId val="2071020824"/>
        <c:scaling>
          <c:orientation val="minMax"/>
        </c:scaling>
        <c:delete val="0"/>
        <c:axPos val="b"/>
        <c:majorTickMark val="out"/>
        <c:minorTickMark val="none"/>
        <c:tickLblPos val="nextTo"/>
        <c:crossAx val="2071017832"/>
        <c:crosses val="autoZero"/>
        <c:auto val="1"/>
        <c:lblAlgn val="ctr"/>
        <c:lblOffset val="100"/>
        <c:noMultiLvlLbl val="0"/>
      </c:catAx>
    </c:plotArea>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9"/>
    </mc:Choice>
    <mc:Fallback>
      <c:style val="29"/>
    </mc:Fallback>
  </mc:AlternateContent>
  <c:chart>
    <c:autoTitleDeleted val="1"/>
    <c:plotArea>
      <c:layout>
        <c:manualLayout>
          <c:layoutTarget val="inner"/>
          <c:xMode val="edge"/>
          <c:yMode val="edge"/>
          <c:x val="0.0754716981132076"/>
          <c:y val="0.0917030567685589"/>
          <c:w val="0.876908987825592"/>
          <c:h val="0.638389861992102"/>
        </c:manualLayout>
      </c:layout>
      <c:barChart>
        <c:barDir val="col"/>
        <c:grouping val="clustered"/>
        <c:varyColors val="0"/>
        <c:ser>
          <c:idx val="0"/>
          <c:order val="0"/>
          <c:tx>
            <c:strRef>
              <c:f>Sheet1!$B$1</c:f>
              <c:strCache>
                <c:ptCount val="1"/>
                <c:pt idx="0">
                  <c:v>persen</c:v>
                </c:pt>
              </c:strCache>
            </c:strRef>
          </c:tx>
          <c:invertIfNegative val="0"/>
          <c:cat>
            <c:strRef>
              <c:f>Sheet1!$A$2:$A$7</c:f>
              <c:strCache>
                <c:ptCount val="6"/>
                <c:pt idx="0">
                  <c:v>Bakterial Vaginosis</c:v>
                </c:pt>
                <c:pt idx="1">
                  <c:v>Kandidiasis Interginosa</c:v>
                </c:pt>
                <c:pt idx="2">
                  <c:v>Kondiloma Akuminata</c:v>
                </c:pt>
                <c:pt idx="3">
                  <c:v>HIV</c:v>
                </c:pt>
                <c:pt idx="4">
                  <c:v>Kandidiasis Vulvovaginalis</c:v>
                </c:pt>
                <c:pt idx="5">
                  <c:v>Vaginitis</c:v>
                </c:pt>
              </c:strCache>
            </c:strRef>
          </c:cat>
          <c:val>
            <c:numRef>
              <c:f>Sheet1!$B$2:$B$7</c:f>
              <c:numCache>
                <c:formatCode>General</c:formatCode>
                <c:ptCount val="6"/>
                <c:pt idx="0">
                  <c:v>2.0</c:v>
                </c:pt>
                <c:pt idx="1">
                  <c:v>6.0</c:v>
                </c:pt>
                <c:pt idx="2">
                  <c:v>52.0</c:v>
                </c:pt>
                <c:pt idx="3">
                  <c:v>36.0</c:v>
                </c:pt>
                <c:pt idx="4">
                  <c:v>2.0</c:v>
                </c:pt>
                <c:pt idx="5">
                  <c:v>2.0</c:v>
                </c:pt>
              </c:numCache>
            </c:numRef>
          </c:val>
        </c:ser>
        <c:dLbls>
          <c:showLegendKey val="0"/>
          <c:showVal val="1"/>
          <c:showCatName val="0"/>
          <c:showSerName val="0"/>
          <c:showPercent val="0"/>
          <c:showBubbleSize val="0"/>
        </c:dLbls>
        <c:gapWidth val="91"/>
        <c:axId val="2096289336"/>
        <c:axId val="2092784296"/>
      </c:barChart>
      <c:catAx>
        <c:axId val="2096289336"/>
        <c:scaling>
          <c:orientation val="minMax"/>
        </c:scaling>
        <c:delete val="0"/>
        <c:axPos val="b"/>
        <c:numFmt formatCode="General" sourceLinked="1"/>
        <c:majorTickMark val="out"/>
        <c:minorTickMark val="none"/>
        <c:tickLblPos val="nextTo"/>
        <c:txPr>
          <a:bodyPr rot="5400000" vert="horz"/>
          <a:lstStyle/>
          <a:p>
            <a:pPr>
              <a:defRPr/>
            </a:pPr>
            <a:endParaRPr lang="en-US"/>
          </a:p>
        </c:txPr>
        <c:crossAx val="2092784296"/>
        <c:crosses val="autoZero"/>
        <c:auto val="1"/>
        <c:lblAlgn val="ctr"/>
        <c:lblOffset val="100"/>
        <c:tickLblSkip val="1"/>
        <c:tickMarkSkip val="1"/>
        <c:noMultiLvlLbl val="0"/>
      </c:catAx>
      <c:valAx>
        <c:axId val="2092784296"/>
        <c:scaling>
          <c:orientation val="minMax"/>
        </c:scaling>
        <c:delete val="0"/>
        <c:axPos val="l"/>
        <c:majorGridlines/>
        <c:numFmt formatCode="General" sourceLinked="1"/>
        <c:majorTickMark val="out"/>
        <c:minorTickMark val="none"/>
        <c:tickLblPos val="nextTo"/>
        <c:txPr>
          <a:bodyPr rot="0" vert="horz"/>
          <a:lstStyle/>
          <a:p>
            <a:pPr>
              <a:defRPr/>
            </a:pPr>
            <a:endParaRPr lang="en-US"/>
          </a:p>
        </c:txPr>
        <c:crossAx val="209628933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D46B6-AE2B-E846-80AE-737D64093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3304</Words>
  <Characters>18834</Characters>
  <Application>Microsoft Macintosh Word</Application>
  <DocSecurity>0</DocSecurity>
  <Lines>156</Lines>
  <Paragraphs>44</Paragraphs>
  <ScaleCrop>false</ScaleCrop>
  <Company/>
  <LinksUpToDate>false</LinksUpToDate>
  <CharactersWithSpaces>22094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HASTA SYARIF</dc:creator>
  <cp:keywords/>
  <dc:description/>
  <cp:lastModifiedBy>HASTA SYARIF</cp:lastModifiedBy>
  <cp:revision>24</cp:revision>
  <dcterms:created xsi:type="dcterms:W3CDTF">2017-10-07T11:09:00Z</dcterms:created>
  <dcterms:modified xsi:type="dcterms:W3CDTF">2017-10-12T05:56:00Z</dcterms:modified>
</cp:coreProperties>
</file>