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470" w:rsidRDefault="0027639C" w:rsidP="0027639C">
      <w:pPr>
        <w:pStyle w:val="Heading1"/>
        <w:rPr>
          <w:color w:val="548DD4" w:themeColor="text2" w:themeTint="99"/>
        </w:rPr>
      </w:pPr>
      <w:r w:rsidRPr="0027639C">
        <w:rPr>
          <w:color w:val="548DD4" w:themeColor="text2" w:themeTint="99"/>
        </w:rPr>
        <w:t>Fluorescent Isothiocyanate Dextran Evaluates the Permeability of Blood-Brain Barri</w:t>
      </w:r>
      <w:r>
        <w:rPr>
          <w:color w:val="548DD4" w:themeColor="text2" w:themeTint="99"/>
        </w:rPr>
        <w:t>er in Rabies Infected Mice</w:t>
      </w:r>
    </w:p>
    <w:p w:rsidR="0027639C" w:rsidRPr="0027639C" w:rsidRDefault="0027639C" w:rsidP="0027639C">
      <w:pPr>
        <w:pStyle w:val="Heading1"/>
        <w:rPr>
          <w:color w:val="548DD4" w:themeColor="text2" w:themeTint="99"/>
        </w:rPr>
      </w:pPr>
      <w:r>
        <w:rPr>
          <w:color w:val="548DD4" w:themeColor="text2" w:themeTint="99"/>
        </w:rPr>
        <w:t xml:space="preserve"> </w:t>
      </w:r>
    </w:p>
    <w:p w:rsidR="00AE3E37" w:rsidRPr="0027639C" w:rsidRDefault="0027639C" w:rsidP="0027639C">
      <w:pPr>
        <w:pStyle w:val="BodyText"/>
        <w:ind w:left="100"/>
        <w:rPr>
          <w:rFonts w:ascii="Arial"/>
          <w:sz w:val="20"/>
        </w:rPr>
      </w:pPr>
      <w:r w:rsidRPr="0027639C">
        <w:rPr>
          <w:rFonts w:ascii="Arial"/>
        </w:rPr>
        <w:t>Waqas Ahmad</w:t>
      </w:r>
      <w:r w:rsidRPr="0027639C">
        <w:rPr>
          <w:rFonts w:ascii="Arial"/>
          <w:vertAlign w:val="superscript"/>
        </w:rPr>
        <w:t>1, 2</w:t>
      </w:r>
      <w:r w:rsidRPr="0027639C">
        <w:rPr>
          <w:rFonts w:ascii="Arial"/>
        </w:rPr>
        <w:t>,  Liu Xinyue</w:t>
      </w:r>
      <w:r w:rsidRPr="0027639C">
        <w:rPr>
          <w:rFonts w:ascii="Arial"/>
          <w:vertAlign w:val="superscript"/>
        </w:rPr>
        <w:t>1</w:t>
      </w:r>
      <w:r w:rsidRPr="0027639C">
        <w:rPr>
          <w:rFonts w:ascii="Arial"/>
        </w:rPr>
        <w:t>, Li Yingying</w:t>
      </w:r>
      <w:r w:rsidRPr="0027639C">
        <w:rPr>
          <w:rFonts w:ascii="Arial"/>
          <w:vertAlign w:val="superscript"/>
        </w:rPr>
        <w:t>1</w:t>
      </w:r>
      <w:r w:rsidRPr="0027639C">
        <w:rPr>
          <w:rFonts w:ascii="Arial"/>
        </w:rPr>
        <w:t>, Xinyu Wang</w:t>
      </w:r>
      <w:r w:rsidRPr="0027639C">
        <w:rPr>
          <w:rFonts w:ascii="Arial"/>
          <w:vertAlign w:val="superscript"/>
        </w:rPr>
        <w:t>1</w:t>
      </w:r>
      <w:r w:rsidRPr="0027639C">
        <w:rPr>
          <w:rFonts w:ascii="Arial"/>
        </w:rPr>
        <w:t>, Ming Duan</w:t>
      </w:r>
      <w:r w:rsidRPr="0027639C">
        <w:rPr>
          <w:rFonts w:ascii="Arial"/>
          <w:vertAlign w:val="superscript"/>
        </w:rPr>
        <w:t>1</w:t>
      </w:r>
      <w:r w:rsidRPr="0027639C">
        <w:rPr>
          <w:rFonts w:ascii="Arial"/>
        </w:rPr>
        <w:t>, Zhenhong Guan</w:t>
      </w:r>
      <w:r w:rsidRPr="0027639C">
        <w:rPr>
          <w:rFonts w:ascii="Arial"/>
          <w:vertAlign w:val="superscript"/>
        </w:rPr>
        <w:t>1</w:t>
      </w:r>
      <w:r w:rsidRPr="0027639C">
        <w:rPr>
          <w:rFonts w:ascii="Arial"/>
        </w:rPr>
        <w:t xml:space="preserve">, </w:t>
      </w:r>
      <w:r>
        <w:rPr>
          <w:rFonts w:ascii="Arial"/>
        </w:rPr>
        <w:t>Iahtisham Khan</w:t>
      </w:r>
      <w:r w:rsidRPr="0027639C">
        <w:rPr>
          <w:rFonts w:ascii="Arial"/>
          <w:vertAlign w:val="superscript"/>
        </w:rPr>
        <w:t>2</w:t>
      </w:r>
      <w:r>
        <w:rPr>
          <w:rFonts w:ascii="Arial"/>
        </w:rPr>
        <w:t xml:space="preserve">, </w:t>
      </w:r>
      <w:r w:rsidRPr="0027639C">
        <w:rPr>
          <w:rFonts w:ascii="Arial"/>
        </w:rPr>
        <w:t>Zhang Maolin*</w:t>
      </w:r>
      <w:r w:rsidRPr="0027639C">
        <w:rPr>
          <w:rFonts w:ascii="Arial"/>
          <w:vertAlign w:val="superscript"/>
        </w:rPr>
        <w:t>1</w:t>
      </w:r>
      <w:r>
        <w:rPr>
          <w:rFonts w:ascii="Arial"/>
          <w:vertAlign w:val="superscript"/>
        </w:rPr>
        <w:t xml:space="preserve"> </w:t>
      </w:r>
      <w:r w:rsidRPr="0027639C">
        <w:rPr>
          <w:rFonts w:ascii="Arial"/>
        </w:rPr>
        <w:t>Key Laboratory of Zoonosis, Ministry of</w:t>
      </w:r>
      <w:r w:rsidRPr="0027639C">
        <w:rPr>
          <w:rFonts w:ascii="Arial"/>
          <w:vertAlign w:val="superscript"/>
        </w:rPr>
        <w:t xml:space="preserve"> </w:t>
      </w:r>
      <w:r w:rsidRPr="0027639C">
        <w:rPr>
          <w:rFonts w:ascii="Arial"/>
        </w:rPr>
        <w:t>Education, Institute of Zoonosis, Jilin University, 5333 Xian Road, Changchun 130062, People</w:t>
      </w:r>
      <w:r w:rsidRPr="0027639C">
        <w:rPr>
          <w:rFonts w:ascii="Arial"/>
        </w:rPr>
        <w:t>’</w:t>
      </w:r>
      <w:r w:rsidRPr="0027639C">
        <w:rPr>
          <w:rFonts w:ascii="Arial"/>
        </w:rPr>
        <w:t>s Republic of China.</w:t>
      </w:r>
      <w:r>
        <w:rPr>
          <w:rFonts w:ascii="Arial"/>
        </w:rPr>
        <w:t xml:space="preserve"> </w:t>
      </w:r>
      <w:r w:rsidRPr="0027639C">
        <w:rPr>
          <w:rFonts w:ascii="Arial"/>
          <w:vertAlign w:val="superscript"/>
        </w:rPr>
        <w:t>2</w:t>
      </w:r>
      <w:r w:rsidRPr="0027639C">
        <w:rPr>
          <w:rFonts w:ascii="Arial"/>
        </w:rPr>
        <w:t>Section of Epidemiology and Public Health, College of Veterinary and Animal Sciences, Jhang, Pakistan.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27639C" w:rsidP="0027639C">
      <w:pPr>
        <w:pStyle w:val="Heading3"/>
        <w:spacing w:before="74"/>
        <w:jc w:val="both"/>
      </w:pPr>
      <w:r w:rsidRPr="0027639C">
        <w:rPr>
          <w:rFonts w:ascii="Tw Cen MT" w:hAnsi="Tw Cen MT"/>
          <w:b w:val="0"/>
        </w:rPr>
        <w:t>Rabies is primarily a horrifying viral zoonosis that annually accounts for 55,000 deaths worldwide. Acute encephalitis develops as the rabies virus (RABV) enters to the central nervous system by crossing the blood brain barrier (BBB) which is a tight junction of endothelial cells. In this study, three different molecular weights (70 kDa, 150 kDa and 200 kDa) of fluorescent isothiocyanate dextrans (FITC-Dextrans) were used to measure the extent of BBB damage and subsequent leakage patterns in brain tissues of rabies infected mice which were post-immunized with neutralizing antibodies to observe whether it has positive effect on infected mice by decreasing the death ratio. The brains were processed for immunofluorescence to observe the neutralizing antibodies and its relevant compatibility with the leakage of FITC- Dextrans. Results showed that 70 kDa and 150 kDa FITC-Dextrans efficiently crossed BBB, and produced fluorescent illumination mainly in the cerebral cortex of brain. The enhancement of BBB permeability was significant at 5th day of post-immunization, while the neutralizing antibody neutralized some rabies virus particles by crossing BBB, but it did not present enough treatment effect to the dying mice. These findings suggest that FITC-Dextran is an important fluorescent marker to investigate the integrity of BBB permeability.</w:t>
      </w:r>
      <w:r w:rsidRPr="0027639C">
        <w:rPr>
          <w:b w:val="0"/>
        </w:rPr>
        <w:t xml:space="preserve"> </w:t>
      </w:r>
      <w:r w:rsidR="00A9710C">
        <w:rPr>
          <w:b w:val="0"/>
        </w:rPr>
        <w:br w:type="column"/>
      </w:r>
    </w:p>
    <w:p w:rsidR="005973B9" w:rsidRDefault="005973B9" w:rsidP="00E53470">
      <w:pPr>
        <w:spacing w:line="204" w:lineRule="exact"/>
        <w:ind w:firstLine="383"/>
        <w:rPr>
          <w:rFonts w:ascii="Arial"/>
          <w:b/>
          <w:sz w:val="20"/>
        </w:rPr>
      </w:pPr>
      <w:r>
        <w:rPr>
          <w:rFonts w:ascii="Arial"/>
          <w:b/>
          <w:color w:val="BF5A14"/>
          <w:sz w:val="20"/>
        </w:rPr>
        <w:t>Recent Publications (minimum 5)</w:t>
      </w:r>
    </w:p>
    <w:p w:rsidR="0027639C" w:rsidRPr="0027639C" w:rsidRDefault="0027639C" w:rsidP="0027639C">
      <w:pPr>
        <w:pStyle w:val="ListParagraph"/>
        <w:widowControl/>
        <w:numPr>
          <w:ilvl w:val="0"/>
          <w:numId w:val="3"/>
        </w:numPr>
        <w:spacing w:before="0" w:after="120" w:line="276" w:lineRule="auto"/>
        <w:contextualSpacing/>
        <w:rPr>
          <w:rFonts w:asciiTheme="minorHAnsi" w:hAnsiTheme="minorHAnsi"/>
          <w:sz w:val="18"/>
          <w:szCs w:val="24"/>
        </w:rPr>
      </w:pPr>
      <w:r w:rsidRPr="0027639C">
        <w:rPr>
          <w:rFonts w:asciiTheme="minorHAnsi" w:hAnsiTheme="minorHAnsi"/>
          <w:b/>
          <w:sz w:val="18"/>
          <w:szCs w:val="24"/>
        </w:rPr>
        <w:t>Waqas Ahmad,</w:t>
      </w:r>
      <w:r w:rsidRPr="0027639C">
        <w:rPr>
          <w:rFonts w:asciiTheme="minorHAnsi" w:hAnsiTheme="minorHAnsi"/>
          <w:sz w:val="18"/>
          <w:szCs w:val="24"/>
        </w:rPr>
        <w:t xml:space="preserve"> Yingying Li, Yidi Guo, Xinyu Wang, Ming Duan, Zhenhong Guan, Zengshan Liu, Maolin Zhang. Rabies virus co-localizes with early (Rab5) and late (Rab7) endosomal proteins in neuronal and SH-SY5Y cells. Virologica Sinica 2017, 32 (3): 207–215; DOI: 10.1007/s12250-017-3968-9</w:t>
      </w:r>
    </w:p>
    <w:p w:rsidR="0027639C" w:rsidRPr="0027639C" w:rsidRDefault="0027639C" w:rsidP="0027639C">
      <w:pPr>
        <w:pStyle w:val="ListParagraph"/>
        <w:widowControl/>
        <w:numPr>
          <w:ilvl w:val="0"/>
          <w:numId w:val="3"/>
        </w:numPr>
        <w:spacing w:before="0" w:after="120" w:line="276" w:lineRule="auto"/>
        <w:contextualSpacing/>
        <w:rPr>
          <w:rFonts w:asciiTheme="minorHAnsi" w:hAnsiTheme="minorHAnsi"/>
          <w:sz w:val="18"/>
          <w:szCs w:val="24"/>
        </w:rPr>
      </w:pPr>
      <w:r w:rsidRPr="0027639C">
        <w:rPr>
          <w:rFonts w:asciiTheme="minorHAnsi" w:hAnsiTheme="minorHAnsi"/>
          <w:b/>
          <w:sz w:val="18"/>
          <w:szCs w:val="24"/>
        </w:rPr>
        <w:t>Waqas Ahmad</w:t>
      </w:r>
      <w:r w:rsidRPr="0027639C">
        <w:rPr>
          <w:rFonts w:asciiTheme="minorHAnsi" w:hAnsiTheme="minorHAnsi"/>
          <w:sz w:val="18"/>
          <w:szCs w:val="24"/>
        </w:rPr>
        <w:t>, Fazal Mahmood, Yingying Li, Ming Duan, Zhenhong Guan, Maolin Zhang, Muhammad Amjad Ali, Zengshan Liu: Immunopathological Studies of Canine Rabies in Faisalabad, Pakistan. J. Anim. Plant Sci., 26(3), 2016: 636-642.</w:t>
      </w:r>
    </w:p>
    <w:p w:rsidR="0027639C" w:rsidRPr="0027639C" w:rsidRDefault="0027639C" w:rsidP="0027639C">
      <w:pPr>
        <w:pStyle w:val="ListParagraph"/>
        <w:widowControl/>
        <w:numPr>
          <w:ilvl w:val="0"/>
          <w:numId w:val="3"/>
        </w:numPr>
        <w:spacing w:before="0" w:line="276" w:lineRule="auto"/>
        <w:contextualSpacing/>
        <w:rPr>
          <w:sz w:val="18"/>
          <w:szCs w:val="24"/>
        </w:rPr>
      </w:pPr>
      <w:r w:rsidRPr="0027639C">
        <w:rPr>
          <w:sz w:val="18"/>
          <w:szCs w:val="24"/>
        </w:rPr>
        <w:t xml:space="preserve">F Huang, </w:t>
      </w:r>
      <w:r w:rsidRPr="0027639C">
        <w:rPr>
          <w:b/>
          <w:sz w:val="18"/>
          <w:szCs w:val="24"/>
        </w:rPr>
        <w:t>W Ahmad</w:t>
      </w:r>
      <w:r w:rsidRPr="0027639C">
        <w:rPr>
          <w:sz w:val="18"/>
          <w:szCs w:val="24"/>
        </w:rPr>
        <w:t>, M Duan, Z Liu, Z Guan, M Zhang, B Qiao, Y Li, Y Song, Y Chen, M. Amjad Ali: Efficiency of live attenuated and inactivated rabies viruses in prophylactic and post exposure vaccination against the street virus strain. Acta Virologica 06/2015; 59(2): 117-24. DOI: 10.4149/av_2015_02_117.</w:t>
      </w:r>
    </w:p>
    <w:p w:rsidR="0027639C" w:rsidRPr="0027639C" w:rsidRDefault="0027639C" w:rsidP="0027639C">
      <w:pPr>
        <w:pStyle w:val="ListParagraph"/>
        <w:widowControl/>
        <w:numPr>
          <w:ilvl w:val="0"/>
          <w:numId w:val="3"/>
        </w:numPr>
        <w:spacing w:before="0" w:line="276" w:lineRule="auto"/>
        <w:contextualSpacing/>
        <w:rPr>
          <w:rFonts w:asciiTheme="minorHAnsi" w:hAnsiTheme="minorHAnsi"/>
          <w:sz w:val="18"/>
          <w:szCs w:val="18"/>
        </w:rPr>
      </w:pPr>
      <w:r w:rsidRPr="0027639C">
        <w:rPr>
          <w:rFonts w:asciiTheme="minorHAnsi" w:hAnsiTheme="minorHAnsi"/>
          <w:sz w:val="18"/>
          <w:szCs w:val="18"/>
        </w:rPr>
        <w:t xml:space="preserve">F. Huang, Z. Guan, </w:t>
      </w:r>
      <w:r w:rsidRPr="0027639C">
        <w:rPr>
          <w:rFonts w:asciiTheme="minorHAnsi" w:hAnsiTheme="minorHAnsi"/>
          <w:b/>
          <w:sz w:val="18"/>
          <w:szCs w:val="18"/>
        </w:rPr>
        <w:t>W. Ahmad</w:t>
      </w:r>
      <w:r w:rsidRPr="0027639C">
        <w:rPr>
          <w:rFonts w:asciiTheme="minorHAnsi" w:hAnsiTheme="minorHAnsi"/>
          <w:sz w:val="18"/>
          <w:szCs w:val="18"/>
        </w:rPr>
        <w:t>, B. Qiao, Y. Song, M. Duan, M. Zhang: Protective efficacy of live attenuated rabies virus against Lethal Challenged Virus Strain (CVS-11) infection in the Central Nervous System (CNS) of mice</w:t>
      </w:r>
      <w:r w:rsidRPr="0027639C">
        <w:rPr>
          <w:rFonts w:asciiTheme="minorHAnsi" w:hAnsiTheme="minorHAnsi"/>
          <w:i/>
          <w:sz w:val="18"/>
          <w:szCs w:val="18"/>
        </w:rPr>
        <w:t>.</w:t>
      </w:r>
      <w:r w:rsidRPr="0027639C">
        <w:rPr>
          <w:rFonts w:asciiTheme="minorHAnsi" w:hAnsiTheme="minorHAnsi"/>
          <w:sz w:val="18"/>
          <w:szCs w:val="18"/>
        </w:rPr>
        <w:t xml:space="preserve"> Revue de Médecine Vétérinaire 07/2014; 165(7):219-224.</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7639C">
        <w:rPr>
          <w:rFonts w:ascii="Calibri" w:hAnsi="Calibri"/>
        </w:rPr>
        <w:t xml:space="preserve">  </w:t>
      </w:r>
      <w:r w:rsidR="0027639C" w:rsidRPr="0027639C">
        <w:rPr>
          <w:rFonts w:ascii="Calibri" w:hAnsi="Calibri"/>
        </w:rPr>
        <w:t xml:space="preserve">H Zhang, H Yu, J Wang, M Zhang, X Wang, </w:t>
      </w:r>
      <w:r w:rsidR="0027639C" w:rsidRPr="00E53470">
        <w:rPr>
          <w:rFonts w:ascii="Calibri" w:hAnsi="Calibri"/>
          <w:b/>
        </w:rPr>
        <w:t>W Ahmad</w:t>
      </w:r>
      <w:r w:rsidR="0027639C" w:rsidRPr="0027639C">
        <w:rPr>
          <w:rFonts w:ascii="Calibri" w:hAnsi="Calibri"/>
        </w:rPr>
        <w:t>, M Duan, Z Guan: The BM2 protein of influenza B virus interacts with p53 and inhibits its transcriptional and apoptotic activities. Mol. Cell. Biochem., 02/2015; 403(1-2). DOI: 10.1007/s11010-015-2349-7.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044C9E">
      <w:pPr>
        <w:pStyle w:val="BodyText"/>
        <w:spacing w:line="40" w:lineRule="exact"/>
        <w:ind w:left="2202"/>
        <w:rPr>
          <w:rFonts w:ascii="Calibri"/>
          <w:sz w:val="4"/>
        </w:rPr>
      </w:pPr>
      <w:r w:rsidRPr="00044C9E">
        <w:rPr>
          <w:rFonts w:ascii="Calibri"/>
          <w:noProof/>
          <w:sz w:val="4"/>
          <w:lang w:val="en-IN" w:eastAsia="en-IN"/>
        </w:rPr>
      </w:r>
      <w:r w:rsidRPr="00044C9E">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E53470" w:rsidP="00E53470">
      <w:pPr>
        <w:spacing w:before="92"/>
        <w:ind w:left="1482" w:right="4234" w:firstLine="720"/>
        <w:rPr>
          <w:rFonts w:ascii="Arial"/>
        </w:rPr>
      </w:pPr>
      <w:r>
        <w:rPr>
          <w:rFonts w:ascii="Arial"/>
          <w:noProof/>
          <w:color w:val="BF5A14"/>
        </w:rPr>
        <w:drawing>
          <wp:anchor distT="0" distB="0" distL="114300" distR="114300" simplePos="0" relativeHeight="251659264" behindDoc="0" locked="0" layoutInCell="1" allowOverlap="1">
            <wp:simplePos x="0" y="0"/>
            <wp:positionH relativeFrom="margin">
              <wp:posOffset>217805</wp:posOffset>
            </wp:positionH>
            <wp:positionV relativeFrom="margin">
              <wp:posOffset>5383530</wp:posOffset>
            </wp:positionV>
            <wp:extent cx="631825" cy="905510"/>
            <wp:effectExtent l="19050" t="0" r="0" b="0"/>
            <wp:wrapSquare wrapText="bothSides"/>
            <wp:docPr id="3" name="Picture 1" descr="F:\My Original Doc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y Original Docs\3.JPG"/>
                    <pic:cNvPicPr>
                      <a:picLocks noChangeAspect="1" noChangeArrowheads="1"/>
                    </pic:cNvPicPr>
                  </pic:nvPicPr>
                  <pic:blipFill>
                    <a:blip r:embed="rId9" cstate="print"/>
                    <a:srcRect/>
                    <a:stretch>
                      <a:fillRect/>
                    </a:stretch>
                  </pic:blipFill>
                  <pic:spPr bwMode="auto">
                    <a:xfrm>
                      <a:off x="0" y="0"/>
                      <a:ext cx="631825" cy="905510"/>
                    </a:xfrm>
                    <a:prstGeom prst="rect">
                      <a:avLst/>
                    </a:prstGeom>
                    <a:noFill/>
                    <a:ln w="9525">
                      <a:noFill/>
                      <a:miter lim="800000"/>
                      <a:headEnd/>
                      <a:tailEnd/>
                    </a:ln>
                  </pic:spPr>
                </pic:pic>
              </a:graphicData>
            </a:graphic>
          </wp:anchor>
        </w:drawing>
      </w:r>
      <w:r w:rsidR="00A9710C">
        <w:rPr>
          <w:rFonts w:ascii="Arial"/>
          <w:color w:val="BF5A14"/>
        </w:rPr>
        <w:t>Biography</w:t>
      </w:r>
      <w:r w:rsidR="00404E5B">
        <w:rPr>
          <w:rFonts w:ascii="Arial"/>
          <w:color w:val="BF5A14"/>
        </w:rPr>
        <w:t xml:space="preserve"> (150 word limit)</w:t>
      </w:r>
    </w:p>
    <w:p w:rsidR="00E53470" w:rsidRDefault="00E53470" w:rsidP="00E53470">
      <w:pPr>
        <w:spacing w:before="62"/>
        <w:ind w:left="1482" w:right="4235" w:firstLine="720"/>
        <w:jc w:val="center"/>
        <w:rPr>
          <w:rFonts w:ascii="Arial"/>
          <w:sz w:val="14"/>
        </w:rPr>
      </w:pPr>
      <w:r w:rsidRPr="00E53470">
        <w:rPr>
          <w:rFonts w:ascii="Arial"/>
          <w:sz w:val="14"/>
        </w:rPr>
        <w:t xml:space="preserve">Dr. Waqas Ahmad has recently joined the position of Assistant Professor in the section of </w:t>
      </w:r>
      <w:r>
        <w:rPr>
          <w:rFonts w:ascii="Arial"/>
          <w:sz w:val="14"/>
        </w:rPr>
        <w:t>Epidemiology and P</w:t>
      </w:r>
      <w:r w:rsidRPr="00E53470">
        <w:rPr>
          <w:rFonts w:ascii="Arial"/>
          <w:sz w:val="14"/>
        </w:rPr>
        <w:t>ublic health at the University of Veterinary and Animal Sciences, Subcampus-Jhang. He has studied the pathology and mechanism of rabies virus infection throughout his master and doctoral studies. He has also been nominated for 11-day workshop organized by the Pasteur Institute of Iran with the support of the Institut Pasteur in Paris, the Department of Biochemistry, of the University of Lausanne, Switzerland, the Health Sciences eTraining Foundation (HSeT), the World Health Organization (WHO) and the PREDEMICS consortium (FP7 grant nb 278433) in collaboration with the World Organization for Animal Health (OIE), the Food and Agriculture Organization of the United Nations (FAO) and the Global Alliance for Rabies Control (GARC). He has several publications in peer review journals.</w:t>
      </w:r>
    </w:p>
    <w:p w:rsidR="00AE3E37" w:rsidRPr="00E53470" w:rsidRDefault="00A9710C" w:rsidP="00E53470">
      <w:pPr>
        <w:spacing w:before="62"/>
        <w:ind w:left="2880" w:right="4235" w:firstLine="720"/>
        <w:rPr>
          <w:rFonts w:ascii="Arial"/>
          <w:color w:val="0070C0"/>
          <w:sz w:val="14"/>
        </w:rPr>
      </w:pPr>
      <w:r w:rsidRPr="00E53470">
        <w:rPr>
          <w:rFonts w:ascii="Arial"/>
          <w:color w:val="0070C0"/>
          <w:sz w:val="14"/>
        </w:rPr>
        <w:t xml:space="preserve">Email: </w:t>
      </w:r>
      <w:r w:rsidR="00E53470" w:rsidRPr="00E53470">
        <w:rPr>
          <w:rFonts w:ascii="Arial"/>
          <w:color w:val="0070C0"/>
          <w:sz w:val="14"/>
        </w:rPr>
        <w:t>waqas.hussain@uvas.edu.pk</w:t>
      </w:r>
    </w:p>
    <w:p w:rsidR="00AE3E37" w:rsidRDefault="00044C9E">
      <w:pPr>
        <w:pStyle w:val="BodyText"/>
        <w:spacing w:before="2"/>
        <w:rPr>
          <w:rFonts w:ascii="Arial"/>
          <w:sz w:val="19"/>
        </w:rPr>
      </w:pPr>
      <w:r w:rsidRPr="00044C9E">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447" w:rsidRDefault="00A72447">
      <w:r>
        <w:separator/>
      </w:r>
    </w:p>
  </w:endnote>
  <w:endnote w:type="continuationSeparator" w:id="1">
    <w:p w:rsidR="00A72447" w:rsidRDefault="00A724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44C9E">
    <w:pPr>
      <w:pStyle w:val="BodyText"/>
      <w:spacing w:line="14" w:lineRule="auto"/>
      <w:rPr>
        <w:sz w:val="20"/>
      </w:rPr>
    </w:pPr>
    <w:r w:rsidRPr="00044C9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044C9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44C9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447" w:rsidRDefault="00A72447">
      <w:r>
        <w:separator/>
      </w:r>
    </w:p>
  </w:footnote>
  <w:footnote w:type="continuationSeparator" w:id="1">
    <w:p w:rsidR="00A72447" w:rsidRDefault="00A724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44C9E">
    <w:pPr>
      <w:pStyle w:val="BodyText"/>
      <w:spacing w:line="14" w:lineRule="auto"/>
      <w:rPr>
        <w:sz w:val="20"/>
      </w:rPr>
    </w:pPr>
    <w:r w:rsidRPr="00044C9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044C9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4A78BE"/>
    <w:multiLevelType w:val="hybridMultilevel"/>
    <w:tmpl w:val="71A8AA54"/>
    <w:lvl w:ilvl="0" w:tplc="0396DE06">
      <w:start w:val="1"/>
      <w:numFmt w:val="decimal"/>
      <w:lvlText w:val="%1."/>
      <w:lvlJc w:val="left"/>
      <w:pPr>
        <w:ind w:left="360" w:hanging="360"/>
      </w:pPr>
      <w:rPr>
        <w:rFonts w:hint="default"/>
        <w:b w:val="0"/>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44C9E"/>
    <w:rsid w:val="000E2911"/>
    <w:rsid w:val="001263DF"/>
    <w:rsid w:val="002455EC"/>
    <w:rsid w:val="0027639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72447"/>
    <w:rsid w:val="00A9710C"/>
    <w:rsid w:val="00AE3E37"/>
    <w:rsid w:val="00B21A57"/>
    <w:rsid w:val="00C33602"/>
    <w:rsid w:val="00CD6F55"/>
    <w:rsid w:val="00DE3104"/>
    <w:rsid w:val="00E26B10"/>
    <w:rsid w:val="00E5347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cvas</cp:lastModifiedBy>
  <cp:revision>2</cp:revision>
  <dcterms:created xsi:type="dcterms:W3CDTF">2017-08-09T10:28:00Z</dcterms:created>
  <dcterms:modified xsi:type="dcterms:W3CDTF">2017-08-09T10:28:00Z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