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EC9" w:rsidRDefault="00932EC9" w:rsidP="00932EC9">
      <w:pPr>
        <w:pStyle w:val="Default"/>
      </w:pPr>
    </w:p>
    <w:p w:rsidR="00932EC9" w:rsidRDefault="00932EC9" w:rsidP="00932EC9">
      <w:pPr>
        <w:pStyle w:val="Default"/>
        <w:rPr>
          <w:sz w:val="16"/>
          <w:szCs w:val="16"/>
        </w:rPr>
      </w:pPr>
      <w:r w:rsidRPr="004E4D08">
        <w:rPr>
          <w:b/>
          <w:bCs/>
          <w:sz w:val="18"/>
          <w:szCs w:val="16"/>
        </w:rPr>
        <w:t>Abstract</w:t>
      </w:r>
      <w:r>
        <w:rPr>
          <w:b/>
          <w:bCs/>
          <w:sz w:val="16"/>
          <w:szCs w:val="16"/>
        </w:rPr>
        <w:t xml:space="preserve">: </w:t>
      </w:r>
      <w:proofErr w:type="spellStart"/>
      <w:r>
        <w:rPr>
          <w:sz w:val="16"/>
          <w:szCs w:val="16"/>
        </w:rPr>
        <w:t>Azo</w:t>
      </w:r>
      <w:proofErr w:type="spellEnd"/>
      <w:r>
        <w:rPr>
          <w:sz w:val="16"/>
          <w:szCs w:val="16"/>
        </w:rPr>
        <w:t xml:space="preserve"> dyes that are extensively used in textile industries are recalcitrant </w:t>
      </w:r>
      <w:proofErr w:type="spellStart"/>
      <w:r>
        <w:rPr>
          <w:sz w:val="16"/>
          <w:szCs w:val="16"/>
        </w:rPr>
        <w:t>xenobiotic</w:t>
      </w:r>
      <w:proofErr w:type="spellEnd"/>
      <w:r>
        <w:rPr>
          <w:sz w:val="16"/>
          <w:szCs w:val="16"/>
        </w:rPr>
        <w:t xml:space="preserve"> compounds causing a serious damage to the environment. Degradation of </w:t>
      </w:r>
      <w:proofErr w:type="spellStart"/>
      <w:r>
        <w:rPr>
          <w:sz w:val="16"/>
          <w:szCs w:val="16"/>
        </w:rPr>
        <w:t>azo</w:t>
      </w:r>
      <w:proofErr w:type="spellEnd"/>
      <w:r>
        <w:rPr>
          <w:sz w:val="16"/>
          <w:szCs w:val="16"/>
        </w:rPr>
        <w:t xml:space="preserve"> dyes being a necessity diverse dye dumped soils were screened for dye degrading yeasts. One efficient yeast isolate capable of decolorizing both mono-</w:t>
      </w:r>
      <w:proofErr w:type="spellStart"/>
      <w:r>
        <w:rPr>
          <w:sz w:val="16"/>
          <w:szCs w:val="16"/>
        </w:rPr>
        <w:t>azo</w:t>
      </w:r>
      <w:proofErr w:type="spellEnd"/>
      <w:r>
        <w:rPr>
          <w:sz w:val="16"/>
          <w:szCs w:val="16"/>
        </w:rPr>
        <w:t xml:space="preserve"> dyes and </w:t>
      </w:r>
      <w:proofErr w:type="spellStart"/>
      <w:r>
        <w:rPr>
          <w:sz w:val="16"/>
          <w:szCs w:val="16"/>
        </w:rPr>
        <w:t>di-azo</w:t>
      </w:r>
      <w:proofErr w:type="spellEnd"/>
      <w:r>
        <w:rPr>
          <w:sz w:val="16"/>
          <w:szCs w:val="16"/>
        </w:rPr>
        <w:t xml:space="preserve"> dyes was selected, immobilized by entrapment method and studied for </w:t>
      </w:r>
      <w:proofErr w:type="spellStart"/>
      <w:r>
        <w:rPr>
          <w:sz w:val="16"/>
          <w:szCs w:val="16"/>
        </w:rPr>
        <w:t>decolorization</w:t>
      </w:r>
      <w:proofErr w:type="spellEnd"/>
      <w:r>
        <w:rPr>
          <w:sz w:val="16"/>
          <w:szCs w:val="16"/>
        </w:rPr>
        <w:t xml:space="preserve"> efficiency. The isolate was morphologically, culturally and biochemically identified as </w:t>
      </w:r>
      <w:proofErr w:type="spellStart"/>
      <w:r>
        <w:rPr>
          <w:sz w:val="16"/>
          <w:szCs w:val="16"/>
        </w:rPr>
        <w:t>Saccharomyces</w:t>
      </w:r>
      <w:proofErr w:type="spellEnd"/>
      <w:r>
        <w:rPr>
          <w:sz w:val="16"/>
          <w:szCs w:val="16"/>
        </w:rPr>
        <w:t xml:space="preserve"> sp. Sodium alginate entrapped yeast cells were studied for </w:t>
      </w:r>
      <w:proofErr w:type="spellStart"/>
      <w:r>
        <w:rPr>
          <w:sz w:val="16"/>
          <w:szCs w:val="16"/>
        </w:rPr>
        <w:t>decolorization</w:t>
      </w:r>
      <w:proofErr w:type="spellEnd"/>
      <w:r>
        <w:rPr>
          <w:sz w:val="16"/>
          <w:szCs w:val="16"/>
        </w:rPr>
        <w:t xml:space="preserve"> of commercially available textile dyes having </w:t>
      </w:r>
      <w:proofErr w:type="spellStart"/>
      <w:r>
        <w:rPr>
          <w:sz w:val="16"/>
          <w:szCs w:val="16"/>
        </w:rPr>
        <w:t>azo</w:t>
      </w:r>
      <w:proofErr w:type="spellEnd"/>
      <w:r>
        <w:rPr>
          <w:sz w:val="16"/>
          <w:szCs w:val="16"/>
        </w:rPr>
        <w:t xml:space="preserve"> groups. The extent of </w:t>
      </w:r>
      <w:proofErr w:type="spellStart"/>
      <w:r>
        <w:rPr>
          <w:sz w:val="16"/>
          <w:szCs w:val="16"/>
        </w:rPr>
        <w:t>colour</w:t>
      </w:r>
      <w:proofErr w:type="spellEnd"/>
      <w:r>
        <w:rPr>
          <w:sz w:val="16"/>
          <w:szCs w:val="16"/>
        </w:rPr>
        <w:t xml:space="preserve"> removal in the culture medium was assessed through the decrease in dye absorbance of the supernatants. The immobilized yeast’s </w:t>
      </w:r>
      <w:proofErr w:type="spellStart"/>
      <w:r>
        <w:rPr>
          <w:sz w:val="16"/>
          <w:szCs w:val="16"/>
        </w:rPr>
        <w:t>decolorization</w:t>
      </w:r>
      <w:proofErr w:type="spellEnd"/>
      <w:r>
        <w:rPr>
          <w:sz w:val="16"/>
          <w:szCs w:val="16"/>
        </w:rPr>
        <w:t xml:space="preserve"> abilities were different and varied with </w:t>
      </w:r>
      <w:proofErr w:type="spellStart"/>
      <w:r>
        <w:rPr>
          <w:sz w:val="16"/>
          <w:szCs w:val="16"/>
        </w:rPr>
        <w:t>inoculum</w:t>
      </w:r>
      <w:proofErr w:type="spellEnd"/>
      <w:r>
        <w:rPr>
          <w:sz w:val="16"/>
          <w:szCs w:val="16"/>
        </w:rPr>
        <w:t xml:space="preserve"> size, incubation time and nutrients like carbon and nitrogen sources. The fermentation conditions like pH, temperature and aeration had no profound effect. The </w:t>
      </w:r>
      <w:proofErr w:type="spellStart"/>
      <w:r>
        <w:rPr>
          <w:sz w:val="16"/>
          <w:szCs w:val="16"/>
        </w:rPr>
        <w:t>decolorization</w:t>
      </w:r>
      <w:proofErr w:type="spellEnd"/>
      <w:r>
        <w:rPr>
          <w:sz w:val="16"/>
          <w:szCs w:val="16"/>
        </w:rPr>
        <w:t xml:space="preserve"> ranged from 70-100%. Complete </w:t>
      </w:r>
      <w:proofErr w:type="spellStart"/>
      <w:r>
        <w:rPr>
          <w:sz w:val="16"/>
          <w:szCs w:val="16"/>
        </w:rPr>
        <w:t>decolorization</w:t>
      </w:r>
      <w:proofErr w:type="spellEnd"/>
      <w:r>
        <w:rPr>
          <w:sz w:val="16"/>
          <w:szCs w:val="16"/>
        </w:rPr>
        <w:t xml:space="preserve"> was seen within 12 and 18 hrs depending on </w:t>
      </w:r>
      <w:proofErr w:type="spellStart"/>
      <w:r>
        <w:rPr>
          <w:sz w:val="16"/>
          <w:szCs w:val="16"/>
        </w:rPr>
        <w:t>inoculum</w:t>
      </w:r>
      <w:proofErr w:type="spellEnd"/>
      <w:r>
        <w:rPr>
          <w:sz w:val="16"/>
          <w:szCs w:val="16"/>
        </w:rPr>
        <w:t xml:space="preserve"> size. The immobilized beads with yeasts could be reused efficiently for three cycles. The dye degrading immobilized </w:t>
      </w:r>
      <w:proofErr w:type="spellStart"/>
      <w:r>
        <w:rPr>
          <w:sz w:val="16"/>
          <w:szCs w:val="16"/>
        </w:rPr>
        <w:t>Saccharomyces</w:t>
      </w:r>
      <w:proofErr w:type="spellEnd"/>
      <w:r>
        <w:rPr>
          <w:sz w:val="16"/>
          <w:szCs w:val="16"/>
        </w:rPr>
        <w:t xml:space="preserve"> isolate could be commercially significant as it is efficiently degrading both mono-</w:t>
      </w:r>
      <w:proofErr w:type="spellStart"/>
      <w:r>
        <w:rPr>
          <w:sz w:val="16"/>
          <w:szCs w:val="16"/>
        </w:rPr>
        <w:t>azo</w:t>
      </w:r>
      <w:proofErr w:type="spellEnd"/>
      <w:r>
        <w:rPr>
          <w:sz w:val="16"/>
          <w:szCs w:val="16"/>
        </w:rPr>
        <w:t xml:space="preserve"> and </w:t>
      </w:r>
      <w:proofErr w:type="spellStart"/>
      <w:r>
        <w:rPr>
          <w:sz w:val="16"/>
          <w:szCs w:val="16"/>
        </w:rPr>
        <w:t>di-azo</w:t>
      </w:r>
      <w:proofErr w:type="spellEnd"/>
      <w:r>
        <w:rPr>
          <w:sz w:val="16"/>
          <w:szCs w:val="16"/>
        </w:rPr>
        <w:t xml:space="preserve"> dyes, different dye waste waters in a semi-continuous manner and so could also be used for detoxification of industrial effluents. </w:t>
      </w:r>
    </w:p>
    <w:p w:rsidR="00932EC9" w:rsidRDefault="00932EC9" w:rsidP="00932EC9">
      <w:pPr>
        <w:pStyle w:val="Default"/>
      </w:pPr>
    </w:p>
    <w:p w:rsidR="00932EC9" w:rsidRDefault="00932EC9" w:rsidP="00932EC9">
      <w:pPr>
        <w:pStyle w:val="Default"/>
        <w:rPr>
          <w:sz w:val="23"/>
          <w:szCs w:val="23"/>
        </w:rPr>
      </w:pPr>
      <w:r>
        <w:t xml:space="preserve"> </w:t>
      </w:r>
      <w:r>
        <w:rPr>
          <w:b/>
          <w:bCs/>
          <w:sz w:val="23"/>
          <w:szCs w:val="23"/>
        </w:rPr>
        <w:t>1 I</w:t>
      </w:r>
      <w:r>
        <w:rPr>
          <w:b/>
          <w:bCs/>
          <w:sz w:val="18"/>
          <w:szCs w:val="18"/>
        </w:rPr>
        <w:t>NTRODUCTION</w:t>
      </w:r>
      <w:r>
        <w:rPr>
          <w:b/>
          <w:bCs/>
          <w:sz w:val="23"/>
          <w:szCs w:val="23"/>
        </w:rPr>
        <w:t xml:space="preserve">: </w:t>
      </w:r>
    </w:p>
    <w:p w:rsidR="00932EC9" w:rsidRDefault="00932EC9" w:rsidP="00FF0C82">
      <w:pPr>
        <w:rPr>
          <w:sz w:val="19"/>
          <w:szCs w:val="19"/>
        </w:rPr>
      </w:pPr>
      <w:proofErr w:type="spellStart"/>
      <w:r>
        <w:rPr>
          <w:sz w:val="19"/>
          <w:szCs w:val="19"/>
        </w:rPr>
        <w:t>Azo</w:t>
      </w:r>
      <w:proofErr w:type="spellEnd"/>
      <w:r>
        <w:rPr>
          <w:sz w:val="19"/>
          <w:szCs w:val="19"/>
        </w:rPr>
        <w:t xml:space="preserve"> dyes represent the largest group of dyes used in the textile industry. They are characterized by the presence of one or more </w:t>
      </w:r>
      <w:proofErr w:type="spellStart"/>
      <w:r>
        <w:rPr>
          <w:sz w:val="19"/>
          <w:szCs w:val="19"/>
        </w:rPr>
        <w:t>azo</w:t>
      </w:r>
      <w:proofErr w:type="spellEnd"/>
      <w:r>
        <w:rPr>
          <w:sz w:val="19"/>
          <w:szCs w:val="19"/>
        </w:rPr>
        <w:t xml:space="preserve"> groups -N=N-, which are responsible for their coloration, recalcitrant nature and hence are less biodegradable [1]. Over 10% of the dye used in textile processing does not bind to the fibers and is therefore released to the environment. The percentage of unchanged dye after such treatments lost to waste waters more than 50</w:t>
      </w:r>
      <w:proofErr w:type="gramStart"/>
      <w:r>
        <w:rPr>
          <w:sz w:val="19"/>
          <w:szCs w:val="19"/>
        </w:rPr>
        <w:t>%[</w:t>
      </w:r>
      <w:proofErr w:type="gramEnd"/>
      <w:r>
        <w:rPr>
          <w:sz w:val="19"/>
          <w:szCs w:val="19"/>
        </w:rPr>
        <w:t>2]</w:t>
      </w:r>
      <w:r>
        <w:rPr>
          <w:sz w:val="12"/>
          <w:szCs w:val="12"/>
        </w:rPr>
        <w:t>2</w:t>
      </w:r>
      <w:r>
        <w:rPr>
          <w:sz w:val="19"/>
          <w:szCs w:val="19"/>
        </w:rPr>
        <w:t xml:space="preserve">. Some of these compounds pose a serious threat because of their carcinogenic potential or </w:t>
      </w:r>
      <w:proofErr w:type="spellStart"/>
      <w:r>
        <w:rPr>
          <w:sz w:val="19"/>
          <w:szCs w:val="19"/>
        </w:rPr>
        <w:t>cytotoxicity</w:t>
      </w:r>
      <w:proofErr w:type="spellEnd"/>
      <w:r>
        <w:rPr>
          <w:sz w:val="19"/>
          <w:szCs w:val="19"/>
        </w:rPr>
        <w:t xml:space="preserve"> [3]. Currently the major methods of textile waste water treatment involve physical and chemical process [4]. These methods usually involve complicated procedures which are economically unfeasible. Microbial </w:t>
      </w:r>
      <w:proofErr w:type="spellStart"/>
      <w:r>
        <w:rPr>
          <w:sz w:val="19"/>
          <w:szCs w:val="19"/>
        </w:rPr>
        <w:t>decolorization</w:t>
      </w:r>
      <w:proofErr w:type="spellEnd"/>
      <w:r>
        <w:rPr>
          <w:sz w:val="19"/>
          <w:szCs w:val="19"/>
        </w:rPr>
        <w:t xml:space="preserve"> and degradation is an alternative approach which is both environment friendly and cost effective [3], [5]. Most studies on </w:t>
      </w:r>
      <w:proofErr w:type="spellStart"/>
      <w:r>
        <w:rPr>
          <w:sz w:val="19"/>
          <w:szCs w:val="19"/>
        </w:rPr>
        <w:t>azo</w:t>
      </w:r>
      <w:proofErr w:type="spellEnd"/>
      <w:r>
        <w:rPr>
          <w:sz w:val="19"/>
          <w:szCs w:val="19"/>
        </w:rPr>
        <w:t xml:space="preserve"> dye microbial biodegradation have focused on bacteria and fungi [6], [7]</w:t>
      </w:r>
      <w:r>
        <w:rPr>
          <w:sz w:val="12"/>
          <w:szCs w:val="12"/>
        </w:rPr>
        <w:t xml:space="preserve">. </w:t>
      </w:r>
      <w:r>
        <w:rPr>
          <w:sz w:val="19"/>
          <w:szCs w:val="19"/>
        </w:rPr>
        <w:t xml:space="preserve">Especially anaerobic </w:t>
      </w:r>
      <w:proofErr w:type="spellStart"/>
      <w:r>
        <w:rPr>
          <w:sz w:val="19"/>
          <w:szCs w:val="19"/>
        </w:rPr>
        <w:t>bacterial</w:t>
      </w:r>
      <w:proofErr w:type="spellEnd"/>
      <w:r>
        <w:rPr>
          <w:sz w:val="19"/>
          <w:szCs w:val="19"/>
        </w:rPr>
        <w:t xml:space="preserve"> species isolated from the intestinal micro flora [8]. Due to the inherent drawbacks of physical, chemical and photochemical approaches to dye removal, the use of biological methods for the treatment of textile waste waters has received attention as a more cost effective alternative [4], [9], [10]. Anaerobic microbial wastewater treatment can be very effective in removing color, primarily by the activity of </w:t>
      </w:r>
      <w:proofErr w:type="spellStart"/>
      <w:r>
        <w:rPr>
          <w:sz w:val="19"/>
          <w:szCs w:val="19"/>
        </w:rPr>
        <w:t>azo</w:t>
      </w:r>
      <w:proofErr w:type="spellEnd"/>
      <w:r>
        <w:rPr>
          <w:sz w:val="19"/>
          <w:szCs w:val="19"/>
        </w:rPr>
        <w:t xml:space="preserve"> </w:t>
      </w:r>
      <w:proofErr w:type="spellStart"/>
      <w:r>
        <w:rPr>
          <w:sz w:val="19"/>
          <w:szCs w:val="19"/>
        </w:rPr>
        <w:t>reductases</w:t>
      </w:r>
      <w:proofErr w:type="spellEnd"/>
      <w:r>
        <w:rPr>
          <w:sz w:val="19"/>
          <w:szCs w:val="19"/>
        </w:rPr>
        <w:t xml:space="preserve"> that cleave the </w:t>
      </w:r>
      <w:proofErr w:type="spellStart"/>
      <w:r>
        <w:rPr>
          <w:sz w:val="19"/>
          <w:szCs w:val="19"/>
        </w:rPr>
        <w:t>azo</w:t>
      </w:r>
      <w:proofErr w:type="spellEnd"/>
      <w:r>
        <w:rPr>
          <w:sz w:val="19"/>
          <w:szCs w:val="19"/>
        </w:rPr>
        <w:t xml:space="preserve"> bond yielding the corresponding amines, which are frequently toxic, mutagenic and carcinogenic and resist further degradation under anaerobic conditions [4], [11]. Bacteria, yeasts and molds are capable of aerobic </w:t>
      </w:r>
      <w:proofErr w:type="spellStart"/>
      <w:r>
        <w:rPr>
          <w:sz w:val="19"/>
          <w:szCs w:val="19"/>
        </w:rPr>
        <w:t>decolorization</w:t>
      </w:r>
      <w:proofErr w:type="spellEnd"/>
      <w:r>
        <w:rPr>
          <w:sz w:val="19"/>
          <w:szCs w:val="19"/>
        </w:rPr>
        <w:t xml:space="preserve"> and mineralization of </w:t>
      </w:r>
      <w:proofErr w:type="spellStart"/>
      <w:r>
        <w:rPr>
          <w:sz w:val="19"/>
          <w:szCs w:val="19"/>
        </w:rPr>
        <w:t>dyes.The</w:t>
      </w:r>
      <w:proofErr w:type="spellEnd"/>
      <w:r>
        <w:rPr>
          <w:sz w:val="19"/>
          <w:szCs w:val="19"/>
        </w:rPr>
        <w:t xml:space="preserve"> present study concentrated on degradation of </w:t>
      </w:r>
      <w:proofErr w:type="spellStart"/>
      <w:r>
        <w:rPr>
          <w:sz w:val="19"/>
          <w:szCs w:val="19"/>
        </w:rPr>
        <w:t>Azo</w:t>
      </w:r>
      <w:proofErr w:type="spellEnd"/>
      <w:r>
        <w:rPr>
          <w:sz w:val="19"/>
          <w:szCs w:val="19"/>
        </w:rPr>
        <w:t xml:space="preserve"> dyes by an efficient isolated yeast culture. Degrading yeast was immobilized by entrapment method and used for dye degradation </w:t>
      </w:r>
      <w:proofErr w:type="gramStart"/>
      <w:r>
        <w:rPr>
          <w:sz w:val="19"/>
          <w:szCs w:val="19"/>
        </w:rPr>
        <w:t>studies,</w:t>
      </w:r>
      <w:proofErr w:type="gramEnd"/>
      <w:r>
        <w:rPr>
          <w:sz w:val="19"/>
          <w:szCs w:val="19"/>
        </w:rPr>
        <w:t xml:space="preserve"> It showed nearly more than 90% </w:t>
      </w:r>
      <w:proofErr w:type="spellStart"/>
      <w:r>
        <w:rPr>
          <w:sz w:val="19"/>
          <w:szCs w:val="19"/>
        </w:rPr>
        <w:t>decolorization</w:t>
      </w:r>
      <w:proofErr w:type="spellEnd"/>
      <w:r>
        <w:rPr>
          <w:sz w:val="19"/>
          <w:szCs w:val="19"/>
        </w:rPr>
        <w:t xml:space="preserve"> ability for mono-</w:t>
      </w:r>
      <w:proofErr w:type="spellStart"/>
      <w:r>
        <w:rPr>
          <w:sz w:val="19"/>
          <w:szCs w:val="19"/>
        </w:rPr>
        <w:t>azo</w:t>
      </w:r>
      <w:proofErr w:type="spellEnd"/>
      <w:r>
        <w:rPr>
          <w:sz w:val="19"/>
          <w:szCs w:val="19"/>
        </w:rPr>
        <w:t xml:space="preserve"> dyes and nearly 50-60% for </w:t>
      </w:r>
      <w:proofErr w:type="spellStart"/>
      <w:r>
        <w:rPr>
          <w:sz w:val="19"/>
          <w:szCs w:val="19"/>
        </w:rPr>
        <w:t>di-azo</w:t>
      </w:r>
      <w:proofErr w:type="spellEnd"/>
      <w:r>
        <w:rPr>
          <w:sz w:val="19"/>
          <w:szCs w:val="19"/>
        </w:rPr>
        <w:t xml:space="preserve"> dyes. The co-metabolic role of carbon source was also studied along with effect of nitrogen source on </w:t>
      </w:r>
      <w:proofErr w:type="spellStart"/>
      <w:r>
        <w:rPr>
          <w:sz w:val="19"/>
          <w:szCs w:val="19"/>
        </w:rPr>
        <w:t>decolorization</w:t>
      </w:r>
      <w:proofErr w:type="spellEnd"/>
      <w:r>
        <w:rPr>
          <w:sz w:val="19"/>
          <w:szCs w:val="19"/>
        </w:rPr>
        <w:t xml:space="preserve">. The isolate also responded well to dye waste water </w:t>
      </w:r>
      <w:proofErr w:type="spellStart"/>
      <w:r>
        <w:rPr>
          <w:sz w:val="19"/>
          <w:szCs w:val="19"/>
        </w:rPr>
        <w:t>decolorization</w:t>
      </w:r>
      <w:proofErr w:type="spellEnd"/>
      <w:r>
        <w:rPr>
          <w:sz w:val="19"/>
          <w:szCs w:val="19"/>
        </w:rPr>
        <w:t>. Thus the present potential yeast isolate could be used efficiently for dye waste water treatment in semi-continuous manner.</w:t>
      </w:r>
    </w:p>
    <w:p w:rsidR="00932EC9" w:rsidRDefault="00FF0C82" w:rsidP="00932EC9">
      <w:pPr>
        <w:pStyle w:val="Default"/>
        <w:rPr>
          <w:sz w:val="23"/>
          <w:szCs w:val="23"/>
        </w:rPr>
      </w:pPr>
      <w:r>
        <w:rPr>
          <w:b/>
          <w:bCs/>
          <w:sz w:val="23"/>
          <w:szCs w:val="23"/>
        </w:rPr>
        <w:t>2</w:t>
      </w:r>
      <w:r w:rsidR="00932EC9">
        <w:rPr>
          <w:b/>
          <w:bCs/>
          <w:sz w:val="23"/>
          <w:szCs w:val="23"/>
        </w:rPr>
        <w:t xml:space="preserve"> R</w:t>
      </w:r>
      <w:r w:rsidR="00932EC9">
        <w:rPr>
          <w:b/>
          <w:bCs/>
          <w:sz w:val="18"/>
          <w:szCs w:val="18"/>
        </w:rPr>
        <w:t>ESULTS</w:t>
      </w:r>
      <w:r w:rsidR="00932EC9">
        <w:rPr>
          <w:b/>
          <w:bCs/>
          <w:sz w:val="23"/>
          <w:szCs w:val="23"/>
        </w:rPr>
        <w:t xml:space="preserve">: </w:t>
      </w:r>
    </w:p>
    <w:p w:rsidR="003426D1" w:rsidRDefault="00932EC9" w:rsidP="00932EC9">
      <w:pPr>
        <w:rPr>
          <w:sz w:val="19"/>
          <w:szCs w:val="19"/>
        </w:rPr>
      </w:pPr>
      <w:r>
        <w:rPr>
          <w:sz w:val="19"/>
          <w:szCs w:val="19"/>
        </w:rPr>
        <w:t xml:space="preserve">The yeast isolate, isolated from dye dumped soil by enrichment culture technique was immobilized by entrapment method in sodium alginate. This was identified by microscopic and biochemical studies as belonging to genus </w:t>
      </w:r>
      <w:proofErr w:type="spellStart"/>
      <w:r>
        <w:rPr>
          <w:i/>
          <w:iCs/>
          <w:sz w:val="19"/>
          <w:szCs w:val="19"/>
        </w:rPr>
        <w:t>Sachharomyces</w:t>
      </w:r>
      <w:proofErr w:type="spellEnd"/>
      <w:r>
        <w:rPr>
          <w:i/>
          <w:iCs/>
          <w:sz w:val="19"/>
          <w:szCs w:val="19"/>
        </w:rPr>
        <w:t xml:space="preserve"> sp</w:t>
      </w:r>
      <w:r>
        <w:rPr>
          <w:sz w:val="19"/>
          <w:szCs w:val="19"/>
        </w:rPr>
        <w:t xml:space="preserve">, though it showed similarity to both </w:t>
      </w:r>
      <w:proofErr w:type="spellStart"/>
      <w:r>
        <w:rPr>
          <w:i/>
          <w:iCs/>
          <w:sz w:val="19"/>
          <w:szCs w:val="19"/>
        </w:rPr>
        <w:t>cerevisiae</w:t>
      </w:r>
      <w:proofErr w:type="spellEnd"/>
      <w:r>
        <w:rPr>
          <w:i/>
          <w:iCs/>
          <w:sz w:val="19"/>
          <w:szCs w:val="19"/>
        </w:rPr>
        <w:t xml:space="preserve"> </w:t>
      </w:r>
      <w:r>
        <w:rPr>
          <w:sz w:val="19"/>
          <w:szCs w:val="19"/>
        </w:rPr>
        <w:t xml:space="preserve">species and </w:t>
      </w:r>
      <w:proofErr w:type="spellStart"/>
      <w:r>
        <w:rPr>
          <w:i/>
          <w:iCs/>
          <w:sz w:val="19"/>
          <w:szCs w:val="19"/>
        </w:rPr>
        <w:t>italicus</w:t>
      </w:r>
      <w:proofErr w:type="spellEnd"/>
      <w:r>
        <w:rPr>
          <w:i/>
          <w:iCs/>
          <w:sz w:val="19"/>
          <w:szCs w:val="19"/>
        </w:rPr>
        <w:t xml:space="preserve"> </w:t>
      </w:r>
      <w:r>
        <w:rPr>
          <w:sz w:val="19"/>
          <w:szCs w:val="19"/>
        </w:rPr>
        <w:t xml:space="preserve">species it was not identified till species level (Table 1). The selected isolate showed good </w:t>
      </w:r>
      <w:proofErr w:type="spellStart"/>
      <w:r>
        <w:rPr>
          <w:sz w:val="19"/>
          <w:szCs w:val="19"/>
        </w:rPr>
        <w:t>decolorization</w:t>
      </w:r>
      <w:proofErr w:type="spellEnd"/>
      <w:r>
        <w:rPr>
          <w:sz w:val="19"/>
          <w:szCs w:val="19"/>
        </w:rPr>
        <w:t xml:space="preserve"> ability for both mono </w:t>
      </w:r>
      <w:proofErr w:type="spellStart"/>
      <w:r>
        <w:rPr>
          <w:sz w:val="19"/>
          <w:szCs w:val="19"/>
        </w:rPr>
        <w:t>azo</w:t>
      </w:r>
      <w:proofErr w:type="spellEnd"/>
      <w:r>
        <w:rPr>
          <w:sz w:val="19"/>
          <w:szCs w:val="19"/>
        </w:rPr>
        <w:t xml:space="preserve"> dyes like methyl red and </w:t>
      </w:r>
      <w:proofErr w:type="spellStart"/>
      <w:r>
        <w:rPr>
          <w:sz w:val="19"/>
          <w:szCs w:val="19"/>
        </w:rPr>
        <w:t>di-azo</w:t>
      </w:r>
      <w:proofErr w:type="spellEnd"/>
      <w:r>
        <w:rPr>
          <w:sz w:val="19"/>
          <w:szCs w:val="19"/>
        </w:rPr>
        <w:t xml:space="preserve"> dye like </w:t>
      </w:r>
      <w:proofErr w:type="spellStart"/>
      <w:r>
        <w:rPr>
          <w:sz w:val="19"/>
          <w:szCs w:val="19"/>
        </w:rPr>
        <w:t>tryphan</w:t>
      </w:r>
      <w:proofErr w:type="spellEnd"/>
      <w:r>
        <w:rPr>
          <w:sz w:val="19"/>
          <w:szCs w:val="19"/>
        </w:rPr>
        <w:t xml:space="preserve"> blue at different concentrations. The percentage </w:t>
      </w:r>
      <w:proofErr w:type="spellStart"/>
      <w:r>
        <w:rPr>
          <w:sz w:val="19"/>
          <w:szCs w:val="19"/>
        </w:rPr>
        <w:t>decolorization</w:t>
      </w:r>
      <w:proofErr w:type="spellEnd"/>
      <w:r>
        <w:rPr>
          <w:sz w:val="19"/>
          <w:szCs w:val="19"/>
        </w:rPr>
        <w:t xml:space="preserve"> ranged from 70-80% for methyl red and 65-75% for </w:t>
      </w:r>
      <w:proofErr w:type="spellStart"/>
      <w:r>
        <w:rPr>
          <w:sz w:val="19"/>
          <w:szCs w:val="19"/>
        </w:rPr>
        <w:t>tryphan</w:t>
      </w:r>
      <w:proofErr w:type="spellEnd"/>
      <w:r>
        <w:rPr>
          <w:sz w:val="19"/>
          <w:szCs w:val="19"/>
        </w:rPr>
        <w:t xml:space="preserve"> blue (Figure 1) of dyes. The isolate showed good response to immobilization as </w:t>
      </w:r>
      <w:proofErr w:type="spellStart"/>
      <w:r>
        <w:rPr>
          <w:sz w:val="19"/>
          <w:szCs w:val="19"/>
        </w:rPr>
        <w:t>decolorization</w:t>
      </w:r>
      <w:proofErr w:type="spellEnd"/>
      <w:r>
        <w:rPr>
          <w:sz w:val="19"/>
          <w:szCs w:val="19"/>
        </w:rPr>
        <w:t xml:space="preserve"> increased from 80% to 100% (Figure 2). A bead size of 0.02 </w:t>
      </w:r>
      <w:proofErr w:type="spellStart"/>
      <w:r>
        <w:rPr>
          <w:sz w:val="19"/>
          <w:szCs w:val="19"/>
        </w:rPr>
        <w:t>cu.sq</w:t>
      </w:r>
      <w:proofErr w:type="gramStart"/>
      <w:r>
        <w:rPr>
          <w:sz w:val="19"/>
          <w:szCs w:val="19"/>
        </w:rPr>
        <w:t>,mm</w:t>
      </w:r>
      <w:proofErr w:type="spellEnd"/>
      <w:proofErr w:type="gramEnd"/>
      <w:r>
        <w:rPr>
          <w:sz w:val="19"/>
          <w:szCs w:val="19"/>
        </w:rPr>
        <w:t xml:space="preserve"> and an </w:t>
      </w:r>
      <w:proofErr w:type="spellStart"/>
      <w:r>
        <w:rPr>
          <w:sz w:val="19"/>
          <w:szCs w:val="19"/>
        </w:rPr>
        <w:t>inoculum</w:t>
      </w:r>
      <w:proofErr w:type="spellEnd"/>
      <w:r>
        <w:rPr>
          <w:sz w:val="19"/>
          <w:szCs w:val="19"/>
        </w:rPr>
        <w:t xml:space="preserve"> size of 10</w:t>
      </w:r>
      <w:r>
        <w:rPr>
          <w:sz w:val="12"/>
          <w:szCs w:val="12"/>
        </w:rPr>
        <w:t xml:space="preserve">6 </w:t>
      </w:r>
      <w:r>
        <w:rPr>
          <w:sz w:val="19"/>
          <w:szCs w:val="19"/>
        </w:rPr>
        <w:t xml:space="preserve">cells/ml showed 100% </w:t>
      </w:r>
      <w:proofErr w:type="spellStart"/>
      <w:r>
        <w:rPr>
          <w:sz w:val="19"/>
          <w:szCs w:val="19"/>
        </w:rPr>
        <w:t>decolorization</w:t>
      </w:r>
      <w:proofErr w:type="spellEnd"/>
      <w:r>
        <w:rPr>
          <w:sz w:val="19"/>
          <w:szCs w:val="19"/>
        </w:rPr>
        <w:t xml:space="preserve"> (Figure 2). The </w:t>
      </w:r>
      <w:proofErr w:type="spellStart"/>
      <w:r>
        <w:rPr>
          <w:sz w:val="19"/>
          <w:szCs w:val="19"/>
        </w:rPr>
        <w:t>decolorization</w:t>
      </w:r>
      <w:proofErr w:type="spellEnd"/>
      <w:r>
        <w:rPr>
          <w:sz w:val="19"/>
          <w:szCs w:val="19"/>
        </w:rPr>
        <w:t xml:space="preserve"> increased with incubation time and maximum </w:t>
      </w:r>
      <w:proofErr w:type="spellStart"/>
      <w:r>
        <w:rPr>
          <w:sz w:val="19"/>
          <w:szCs w:val="19"/>
        </w:rPr>
        <w:t>decolorization</w:t>
      </w:r>
      <w:proofErr w:type="spellEnd"/>
      <w:r>
        <w:rPr>
          <w:sz w:val="19"/>
          <w:szCs w:val="19"/>
        </w:rPr>
        <w:t xml:space="preserve"> was till 24 hours only for methyl red, red dye and red dye waste water (Figure 3). It produced alcohol which could enhance </w:t>
      </w:r>
      <w:proofErr w:type="spellStart"/>
      <w:r>
        <w:rPr>
          <w:sz w:val="19"/>
          <w:szCs w:val="19"/>
        </w:rPr>
        <w:t>decolorization</w:t>
      </w:r>
      <w:proofErr w:type="spellEnd"/>
      <w:r>
        <w:rPr>
          <w:sz w:val="19"/>
          <w:szCs w:val="19"/>
        </w:rPr>
        <w:t>. The dye decolorized medium and dye waste waters did not show any presence of amine (Table 2). The beneficiary aspect of the immobilization is that the beads could be recycled. The beads were recycled four times comparatively the 1</w:t>
      </w:r>
      <w:r>
        <w:rPr>
          <w:sz w:val="12"/>
          <w:szCs w:val="12"/>
        </w:rPr>
        <w:t xml:space="preserve">st </w:t>
      </w:r>
      <w:r>
        <w:rPr>
          <w:sz w:val="19"/>
          <w:szCs w:val="19"/>
        </w:rPr>
        <w:t xml:space="preserve">cycle showed maximum </w:t>
      </w:r>
      <w:proofErr w:type="spellStart"/>
      <w:r>
        <w:rPr>
          <w:sz w:val="19"/>
          <w:szCs w:val="19"/>
        </w:rPr>
        <w:t>decolorization</w:t>
      </w:r>
      <w:proofErr w:type="spellEnd"/>
      <w:r>
        <w:rPr>
          <w:sz w:val="19"/>
          <w:szCs w:val="19"/>
        </w:rPr>
        <w:t xml:space="preserve"> within 24 hrs, the percentage </w:t>
      </w:r>
      <w:proofErr w:type="spellStart"/>
      <w:r>
        <w:rPr>
          <w:sz w:val="19"/>
          <w:szCs w:val="19"/>
        </w:rPr>
        <w:t>decolourization</w:t>
      </w:r>
      <w:proofErr w:type="spellEnd"/>
      <w:r>
        <w:rPr>
          <w:sz w:val="19"/>
          <w:szCs w:val="19"/>
        </w:rPr>
        <w:t xml:space="preserve"> of the dyes </w:t>
      </w:r>
      <w:r>
        <w:rPr>
          <w:sz w:val="19"/>
          <w:szCs w:val="19"/>
        </w:rPr>
        <w:lastRenderedPageBreak/>
        <w:t xml:space="preserve">gradually decreased with the increase in the number of cycles ( Figure 4). The effect of simple carbon source (co-metabolite) like glucose and nitrogen source like yeast extract on </w:t>
      </w:r>
      <w:proofErr w:type="spellStart"/>
      <w:r>
        <w:rPr>
          <w:sz w:val="19"/>
          <w:szCs w:val="19"/>
        </w:rPr>
        <w:t>decolorization</w:t>
      </w:r>
      <w:proofErr w:type="spellEnd"/>
      <w:r>
        <w:rPr>
          <w:sz w:val="19"/>
          <w:szCs w:val="19"/>
        </w:rPr>
        <w:t xml:space="preserve"> of methyl red (Figure 5) and red dye waste water (Figure 6) was studied to ascertain the </w:t>
      </w:r>
      <w:proofErr w:type="spellStart"/>
      <w:r>
        <w:rPr>
          <w:sz w:val="19"/>
          <w:szCs w:val="19"/>
        </w:rPr>
        <w:t>decolorization</w:t>
      </w:r>
      <w:proofErr w:type="spellEnd"/>
      <w:r>
        <w:rPr>
          <w:sz w:val="19"/>
          <w:szCs w:val="19"/>
        </w:rPr>
        <w:t xml:space="preserve"> efficiency of the isolate under study. The response of the isolate was good with 100% </w:t>
      </w:r>
      <w:proofErr w:type="spellStart"/>
      <w:r>
        <w:rPr>
          <w:sz w:val="19"/>
          <w:szCs w:val="19"/>
        </w:rPr>
        <w:t>decolorization</w:t>
      </w:r>
      <w:proofErr w:type="spellEnd"/>
      <w:r>
        <w:rPr>
          <w:sz w:val="19"/>
          <w:szCs w:val="19"/>
        </w:rPr>
        <w:t xml:space="preserve"> even both in presence and absence of the </w:t>
      </w:r>
      <w:proofErr w:type="spellStart"/>
      <w:r>
        <w:rPr>
          <w:sz w:val="19"/>
          <w:szCs w:val="19"/>
        </w:rPr>
        <w:t>cometabolites</w:t>
      </w:r>
      <w:proofErr w:type="spellEnd"/>
    </w:p>
    <w:p w:rsidR="004E4D08" w:rsidRPr="003426D1" w:rsidRDefault="004E4D08" w:rsidP="00932EC9">
      <w:pPr>
        <w:rPr>
          <w:sz w:val="19"/>
          <w:szCs w:val="19"/>
        </w:rPr>
      </w:pPr>
      <w:r w:rsidRPr="003426D1">
        <w:rPr>
          <w:b/>
          <w:sz w:val="20"/>
          <w:szCs w:val="19"/>
        </w:rPr>
        <w:t>Results :</w:t>
      </w:r>
    </w:p>
    <w:tbl>
      <w:tblPr>
        <w:tblStyle w:val="TableGrid"/>
        <w:tblW w:w="0" w:type="auto"/>
        <w:tblLayout w:type="fixed"/>
        <w:tblLook w:val="04A0"/>
      </w:tblPr>
      <w:tblGrid>
        <w:gridCol w:w="2101"/>
        <w:gridCol w:w="1757"/>
        <w:gridCol w:w="1915"/>
        <w:gridCol w:w="1915"/>
      </w:tblGrid>
      <w:tr w:rsidR="00C76E79" w:rsidTr="00C76E79">
        <w:tc>
          <w:tcPr>
            <w:tcW w:w="2101" w:type="dxa"/>
          </w:tcPr>
          <w:tbl>
            <w:tblPr>
              <w:tblW w:w="0" w:type="auto"/>
              <w:tblBorders>
                <w:top w:val="nil"/>
                <w:left w:val="nil"/>
                <w:bottom w:val="nil"/>
                <w:right w:val="nil"/>
              </w:tblBorders>
              <w:tblLayout w:type="fixed"/>
              <w:tblLook w:val="0000"/>
            </w:tblPr>
            <w:tblGrid>
              <w:gridCol w:w="1104"/>
              <w:gridCol w:w="236"/>
              <w:gridCol w:w="236"/>
            </w:tblGrid>
            <w:tr w:rsidR="00C76E79" w:rsidTr="00C76E79">
              <w:tblPrEx>
                <w:tblCellMar>
                  <w:top w:w="0" w:type="dxa"/>
                  <w:bottom w:w="0" w:type="dxa"/>
                </w:tblCellMar>
              </w:tblPrEx>
              <w:trPr>
                <w:trHeight w:val="307"/>
              </w:trPr>
              <w:tc>
                <w:tcPr>
                  <w:tcW w:w="1104" w:type="dxa"/>
                </w:tcPr>
                <w:p w:rsidR="00C76E79" w:rsidRDefault="00C76E79">
                  <w:pPr>
                    <w:pStyle w:val="Default"/>
                    <w:rPr>
                      <w:sz w:val="19"/>
                      <w:szCs w:val="19"/>
                    </w:rPr>
                  </w:pPr>
                  <w:r>
                    <w:rPr>
                      <w:b/>
                      <w:bCs/>
                      <w:sz w:val="19"/>
                      <w:szCs w:val="19"/>
                    </w:rPr>
                    <w:t xml:space="preserve">Character </w:t>
                  </w:r>
                </w:p>
              </w:tc>
              <w:tc>
                <w:tcPr>
                  <w:tcW w:w="222" w:type="dxa"/>
                </w:tcPr>
                <w:p w:rsidR="00C76E79" w:rsidRDefault="00C76E79">
                  <w:pPr>
                    <w:pStyle w:val="Default"/>
                    <w:rPr>
                      <w:sz w:val="19"/>
                      <w:szCs w:val="19"/>
                    </w:rPr>
                  </w:pPr>
                </w:p>
              </w:tc>
              <w:tc>
                <w:tcPr>
                  <w:tcW w:w="222" w:type="dxa"/>
                </w:tcPr>
                <w:p w:rsidR="00C76E79" w:rsidRDefault="00C76E79">
                  <w:pPr>
                    <w:pStyle w:val="Default"/>
                    <w:rPr>
                      <w:sz w:val="19"/>
                      <w:szCs w:val="19"/>
                    </w:rPr>
                  </w:pPr>
                </w:p>
              </w:tc>
            </w:tr>
          </w:tbl>
          <w:p w:rsidR="00C76E79" w:rsidRDefault="00C76E79" w:rsidP="00932EC9">
            <w:pPr>
              <w:rPr>
                <w:sz w:val="19"/>
                <w:szCs w:val="19"/>
              </w:rPr>
            </w:pPr>
          </w:p>
        </w:tc>
        <w:tc>
          <w:tcPr>
            <w:tcW w:w="1757" w:type="dxa"/>
          </w:tcPr>
          <w:p w:rsidR="00C76E79" w:rsidRDefault="00C76E79" w:rsidP="00C76E79">
            <w:pPr>
              <w:pStyle w:val="Default"/>
              <w:rPr>
                <w:sz w:val="19"/>
                <w:szCs w:val="19"/>
              </w:rPr>
            </w:pPr>
            <w:proofErr w:type="spellStart"/>
            <w:r>
              <w:rPr>
                <w:b/>
                <w:bCs/>
                <w:i/>
                <w:iCs/>
                <w:sz w:val="19"/>
                <w:szCs w:val="19"/>
              </w:rPr>
              <w:t>Saccharo</w:t>
            </w:r>
            <w:proofErr w:type="spellEnd"/>
            <w:r>
              <w:rPr>
                <w:b/>
                <w:bCs/>
                <w:i/>
                <w:iCs/>
                <w:sz w:val="19"/>
                <w:szCs w:val="19"/>
              </w:rPr>
              <w:t xml:space="preserve"> -</w:t>
            </w:r>
            <w:proofErr w:type="spellStart"/>
            <w:r>
              <w:rPr>
                <w:b/>
                <w:bCs/>
                <w:i/>
                <w:iCs/>
                <w:sz w:val="19"/>
                <w:szCs w:val="19"/>
              </w:rPr>
              <w:t>myces</w:t>
            </w:r>
            <w:proofErr w:type="spellEnd"/>
            <w:r>
              <w:rPr>
                <w:b/>
                <w:bCs/>
                <w:i/>
                <w:iCs/>
                <w:sz w:val="19"/>
                <w:szCs w:val="19"/>
              </w:rPr>
              <w:t xml:space="preserve"> </w:t>
            </w:r>
            <w:proofErr w:type="spellStart"/>
            <w:r>
              <w:rPr>
                <w:b/>
                <w:bCs/>
                <w:i/>
                <w:iCs/>
                <w:sz w:val="19"/>
                <w:szCs w:val="19"/>
              </w:rPr>
              <w:t>italicus</w:t>
            </w:r>
            <w:proofErr w:type="spellEnd"/>
            <w:r>
              <w:rPr>
                <w:b/>
                <w:bCs/>
                <w:i/>
                <w:iCs/>
                <w:sz w:val="19"/>
                <w:szCs w:val="19"/>
              </w:rPr>
              <w:t xml:space="preserve"> </w:t>
            </w:r>
          </w:p>
          <w:p w:rsidR="00C76E79" w:rsidRDefault="00C76E79" w:rsidP="00932EC9">
            <w:pPr>
              <w:rPr>
                <w:sz w:val="19"/>
                <w:szCs w:val="19"/>
              </w:rPr>
            </w:pPr>
          </w:p>
        </w:tc>
        <w:tc>
          <w:tcPr>
            <w:tcW w:w="1915" w:type="dxa"/>
          </w:tcPr>
          <w:p w:rsidR="00C76E79" w:rsidRDefault="00C76E79" w:rsidP="00932EC9">
            <w:pPr>
              <w:rPr>
                <w:sz w:val="19"/>
                <w:szCs w:val="19"/>
              </w:rPr>
            </w:pPr>
            <w:proofErr w:type="spellStart"/>
            <w:r>
              <w:rPr>
                <w:b/>
                <w:bCs/>
                <w:i/>
                <w:iCs/>
                <w:sz w:val="19"/>
                <w:szCs w:val="19"/>
              </w:rPr>
              <w:t>Saccharo-myces</w:t>
            </w:r>
            <w:proofErr w:type="spellEnd"/>
            <w:r>
              <w:rPr>
                <w:b/>
                <w:bCs/>
                <w:i/>
                <w:iCs/>
                <w:sz w:val="19"/>
                <w:szCs w:val="19"/>
              </w:rPr>
              <w:t xml:space="preserve"> </w:t>
            </w:r>
            <w:proofErr w:type="spellStart"/>
            <w:r>
              <w:rPr>
                <w:b/>
                <w:bCs/>
                <w:i/>
                <w:iCs/>
                <w:sz w:val="19"/>
                <w:szCs w:val="19"/>
              </w:rPr>
              <w:t>cerevisiae</w:t>
            </w:r>
            <w:proofErr w:type="spellEnd"/>
          </w:p>
        </w:tc>
        <w:tc>
          <w:tcPr>
            <w:tcW w:w="1915" w:type="dxa"/>
          </w:tcPr>
          <w:p w:rsidR="00C76E79" w:rsidRDefault="00C76E79" w:rsidP="00932EC9">
            <w:pPr>
              <w:rPr>
                <w:sz w:val="19"/>
                <w:szCs w:val="19"/>
              </w:rPr>
            </w:pPr>
            <w:r>
              <w:rPr>
                <w:b/>
                <w:bCs/>
                <w:i/>
                <w:iCs/>
                <w:sz w:val="19"/>
                <w:szCs w:val="19"/>
              </w:rPr>
              <w:t>Isolate</w:t>
            </w:r>
          </w:p>
        </w:tc>
      </w:tr>
      <w:tr w:rsidR="00C76E79" w:rsidTr="00C76E79">
        <w:tc>
          <w:tcPr>
            <w:tcW w:w="2101" w:type="dxa"/>
          </w:tcPr>
          <w:tbl>
            <w:tblPr>
              <w:tblW w:w="0" w:type="auto"/>
              <w:tblBorders>
                <w:top w:val="nil"/>
                <w:left w:val="nil"/>
                <w:bottom w:val="nil"/>
                <w:right w:val="nil"/>
              </w:tblBorders>
              <w:tblLayout w:type="fixed"/>
              <w:tblLook w:val="0000"/>
            </w:tblPr>
            <w:tblGrid>
              <w:gridCol w:w="1853"/>
              <w:gridCol w:w="236"/>
            </w:tblGrid>
            <w:tr w:rsidR="00C76E79" w:rsidTr="00C76E79">
              <w:tblPrEx>
                <w:tblCellMar>
                  <w:top w:w="0" w:type="dxa"/>
                  <w:bottom w:w="0" w:type="dxa"/>
                </w:tblCellMar>
              </w:tblPrEx>
              <w:trPr>
                <w:trHeight w:val="636"/>
              </w:trPr>
              <w:tc>
                <w:tcPr>
                  <w:tcW w:w="1853" w:type="dxa"/>
                </w:tcPr>
                <w:p w:rsidR="00C76E79" w:rsidRDefault="00C76E79" w:rsidP="00C76E79">
                  <w:pPr>
                    <w:pStyle w:val="Default"/>
                    <w:rPr>
                      <w:sz w:val="19"/>
                      <w:szCs w:val="19"/>
                    </w:rPr>
                  </w:pPr>
                  <w:r>
                    <w:rPr>
                      <w:sz w:val="19"/>
                      <w:szCs w:val="19"/>
                    </w:rPr>
                    <w:t>Colony Morphology</w:t>
                  </w:r>
                </w:p>
              </w:tc>
              <w:tc>
                <w:tcPr>
                  <w:tcW w:w="222" w:type="dxa"/>
                </w:tcPr>
                <w:p w:rsidR="00C76E79" w:rsidRDefault="00C76E79" w:rsidP="00C76E79">
                  <w:pPr>
                    <w:pStyle w:val="Default"/>
                    <w:rPr>
                      <w:sz w:val="19"/>
                      <w:szCs w:val="19"/>
                    </w:rPr>
                  </w:pPr>
                </w:p>
              </w:tc>
            </w:tr>
          </w:tbl>
          <w:p w:rsidR="00C76E79" w:rsidRDefault="00C76E79" w:rsidP="00C76E79">
            <w:pPr>
              <w:rPr>
                <w:sz w:val="19"/>
                <w:szCs w:val="19"/>
              </w:rPr>
            </w:pPr>
          </w:p>
        </w:tc>
        <w:tc>
          <w:tcPr>
            <w:tcW w:w="1757" w:type="dxa"/>
          </w:tcPr>
          <w:p w:rsidR="00C76E79" w:rsidRDefault="00C76E79" w:rsidP="00C76E79">
            <w:pPr>
              <w:pStyle w:val="Default"/>
              <w:rPr>
                <w:sz w:val="19"/>
                <w:szCs w:val="19"/>
              </w:rPr>
            </w:pPr>
            <w:r>
              <w:rPr>
                <w:sz w:val="19"/>
                <w:szCs w:val="19"/>
              </w:rPr>
              <w:t xml:space="preserve">Flat, cream to </w:t>
            </w:r>
            <w:proofErr w:type="spellStart"/>
            <w:r>
              <w:rPr>
                <w:sz w:val="19"/>
                <w:szCs w:val="19"/>
              </w:rPr>
              <w:t>tannish</w:t>
            </w:r>
            <w:proofErr w:type="spellEnd"/>
            <w:r>
              <w:rPr>
                <w:sz w:val="19"/>
                <w:szCs w:val="19"/>
              </w:rPr>
              <w:t xml:space="preserve"> cream in color</w:t>
            </w:r>
          </w:p>
          <w:p w:rsidR="00C76E79" w:rsidRDefault="00C76E79" w:rsidP="00C76E79">
            <w:pPr>
              <w:rPr>
                <w:sz w:val="19"/>
                <w:szCs w:val="19"/>
              </w:rPr>
            </w:pPr>
          </w:p>
        </w:tc>
        <w:tc>
          <w:tcPr>
            <w:tcW w:w="1915" w:type="dxa"/>
          </w:tcPr>
          <w:p w:rsidR="00C76E79" w:rsidRDefault="00C76E79" w:rsidP="00C76E79">
            <w:pPr>
              <w:rPr>
                <w:sz w:val="19"/>
                <w:szCs w:val="19"/>
              </w:rPr>
            </w:pPr>
            <w:r>
              <w:rPr>
                <w:sz w:val="19"/>
                <w:szCs w:val="19"/>
              </w:rPr>
              <w:t>Pale cream &amp; smooth with regular edge</w:t>
            </w:r>
          </w:p>
        </w:tc>
        <w:tc>
          <w:tcPr>
            <w:tcW w:w="1915" w:type="dxa"/>
          </w:tcPr>
          <w:p w:rsidR="00C76E79" w:rsidRDefault="00C76E79" w:rsidP="00C76E79">
            <w:pPr>
              <w:pStyle w:val="Default"/>
              <w:rPr>
                <w:sz w:val="19"/>
                <w:szCs w:val="19"/>
              </w:rPr>
            </w:pPr>
            <w:r>
              <w:rPr>
                <w:sz w:val="19"/>
                <w:szCs w:val="19"/>
              </w:rPr>
              <w:t>Flat cream colony with regular edge</w:t>
            </w:r>
          </w:p>
          <w:p w:rsidR="00C76E79" w:rsidRDefault="00C76E79" w:rsidP="00C76E79">
            <w:pPr>
              <w:rPr>
                <w:sz w:val="19"/>
                <w:szCs w:val="19"/>
              </w:rPr>
            </w:pPr>
          </w:p>
        </w:tc>
      </w:tr>
      <w:tr w:rsidR="00C76E79" w:rsidTr="00C76E79">
        <w:trPr>
          <w:trHeight w:val="755"/>
        </w:trPr>
        <w:tc>
          <w:tcPr>
            <w:tcW w:w="2101" w:type="dxa"/>
          </w:tcPr>
          <w:tbl>
            <w:tblPr>
              <w:tblW w:w="0" w:type="auto"/>
              <w:tblBorders>
                <w:top w:val="nil"/>
                <w:left w:val="nil"/>
                <w:bottom w:val="nil"/>
                <w:right w:val="nil"/>
              </w:tblBorders>
              <w:tblLayout w:type="fixed"/>
              <w:tblLook w:val="0000"/>
            </w:tblPr>
            <w:tblGrid>
              <w:gridCol w:w="2095"/>
              <w:gridCol w:w="236"/>
            </w:tblGrid>
            <w:tr w:rsidR="00C76E79" w:rsidTr="00C76E79">
              <w:tblPrEx>
                <w:tblCellMar>
                  <w:top w:w="0" w:type="dxa"/>
                  <w:bottom w:w="0" w:type="dxa"/>
                </w:tblCellMar>
              </w:tblPrEx>
              <w:trPr>
                <w:trHeight w:val="416"/>
              </w:trPr>
              <w:tc>
                <w:tcPr>
                  <w:tcW w:w="2095" w:type="dxa"/>
                </w:tcPr>
                <w:p w:rsidR="00C76E79" w:rsidRDefault="00C76E79" w:rsidP="00C76E79">
                  <w:pPr>
                    <w:pStyle w:val="Default"/>
                    <w:rPr>
                      <w:sz w:val="19"/>
                      <w:szCs w:val="19"/>
                    </w:rPr>
                  </w:pPr>
                  <w:r>
                    <w:rPr>
                      <w:sz w:val="19"/>
                      <w:szCs w:val="19"/>
                    </w:rPr>
                    <w:t xml:space="preserve">Microscopic- Presence of </w:t>
                  </w:r>
                  <w:proofErr w:type="spellStart"/>
                  <w:r>
                    <w:rPr>
                      <w:sz w:val="19"/>
                      <w:szCs w:val="19"/>
                    </w:rPr>
                    <w:t>Pseudomycelium</w:t>
                  </w:r>
                  <w:proofErr w:type="spellEnd"/>
                </w:p>
              </w:tc>
              <w:tc>
                <w:tcPr>
                  <w:tcW w:w="222" w:type="dxa"/>
                </w:tcPr>
                <w:p w:rsidR="00C76E79" w:rsidRDefault="00C76E79" w:rsidP="00C76E79">
                  <w:pPr>
                    <w:pStyle w:val="Default"/>
                    <w:rPr>
                      <w:sz w:val="19"/>
                      <w:szCs w:val="19"/>
                    </w:rPr>
                  </w:pPr>
                </w:p>
              </w:tc>
            </w:tr>
          </w:tbl>
          <w:p w:rsidR="00C76E79" w:rsidRDefault="00C76E79" w:rsidP="00C76E79">
            <w:pPr>
              <w:rPr>
                <w:sz w:val="19"/>
                <w:szCs w:val="19"/>
              </w:rPr>
            </w:pPr>
          </w:p>
        </w:tc>
        <w:tc>
          <w:tcPr>
            <w:tcW w:w="1757" w:type="dxa"/>
          </w:tcPr>
          <w:p w:rsidR="00C76E79" w:rsidRDefault="00C76E79" w:rsidP="00C76E79">
            <w:pPr>
              <w:rPr>
                <w:sz w:val="19"/>
                <w:szCs w:val="19"/>
              </w:rPr>
            </w:pPr>
            <w:r>
              <w:rPr>
                <w:sz w:val="19"/>
                <w:szCs w:val="19"/>
              </w:rPr>
              <w:t>Absent</w:t>
            </w:r>
          </w:p>
        </w:tc>
        <w:tc>
          <w:tcPr>
            <w:tcW w:w="1915" w:type="dxa"/>
          </w:tcPr>
          <w:p w:rsidR="00C76E79" w:rsidRDefault="00C76E79" w:rsidP="00C76E79">
            <w:pPr>
              <w:rPr>
                <w:sz w:val="19"/>
                <w:szCs w:val="19"/>
              </w:rPr>
            </w:pPr>
            <w:r>
              <w:rPr>
                <w:sz w:val="19"/>
                <w:szCs w:val="19"/>
              </w:rPr>
              <w:t>Absent</w:t>
            </w:r>
          </w:p>
        </w:tc>
        <w:tc>
          <w:tcPr>
            <w:tcW w:w="1915" w:type="dxa"/>
          </w:tcPr>
          <w:p w:rsidR="00C76E79" w:rsidRDefault="00C76E79" w:rsidP="00C76E79">
            <w:pPr>
              <w:rPr>
                <w:sz w:val="19"/>
                <w:szCs w:val="19"/>
              </w:rPr>
            </w:pPr>
            <w:r>
              <w:rPr>
                <w:sz w:val="19"/>
                <w:szCs w:val="19"/>
              </w:rPr>
              <w:t>Absent</w:t>
            </w:r>
          </w:p>
        </w:tc>
      </w:tr>
      <w:tr w:rsidR="00C76E79" w:rsidTr="00C76E79">
        <w:trPr>
          <w:trHeight w:val="359"/>
        </w:trPr>
        <w:tc>
          <w:tcPr>
            <w:tcW w:w="2101" w:type="dxa"/>
          </w:tcPr>
          <w:tbl>
            <w:tblPr>
              <w:tblW w:w="0" w:type="auto"/>
              <w:tblBorders>
                <w:top w:val="nil"/>
                <w:left w:val="nil"/>
                <w:bottom w:val="nil"/>
                <w:right w:val="nil"/>
              </w:tblBorders>
              <w:tblLayout w:type="fixed"/>
              <w:tblLook w:val="0000"/>
            </w:tblPr>
            <w:tblGrid>
              <w:gridCol w:w="1632"/>
              <w:gridCol w:w="236"/>
              <w:gridCol w:w="236"/>
              <w:gridCol w:w="236"/>
            </w:tblGrid>
            <w:tr w:rsidR="00C76E79" w:rsidTr="00C76E79">
              <w:tblPrEx>
                <w:tblCellMar>
                  <w:top w:w="0" w:type="dxa"/>
                  <w:bottom w:w="0" w:type="dxa"/>
                </w:tblCellMar>
              </w:tblPrEx>
              <w:trPr>
                <w:trHeight w:val="198"/>
              </w:trPr>
              <w:tc>
                <w:tcPr>
                  <w:tcW w:w="1632" w:type="dxa"/>
                </w:tcPr>
                <w:p w:rsidR="00C76E79" w:rsidRDefault="00C76E79" w:rsidP="00C76E79">
                  <w:pPr>
                    <w:pStyle w:val="Default"/>
                    <w:rPr>
                      <w:sz w:val="19"/>
                      <w:szCs w:val="19"/>
                    </w:rPr>
                  </w:pPr>
                  <w:r>
                    <w:rPr>
                      <w:sz w:val="19"/>
                      <w:szCs w:val="19"/>
                    </w:rPr>
                    <w:t>Shape of the cell</w:t>
                  </w:r>
                </w:p>
              </w:tc>
              <w:tc>
                <w:tcPr>
                  <w:tcW w:w="222" w:type="dxa"/>
                </w:tcPr>
                <w:p w:rsidR="00C76E79" w:rsidRDefault="00C76E79" w:rsidP="00C76E79">
                  <w:pPr>
                    <w:pStyle w:val="Default"/>
                    <w:rPr>
                      <w:sz w:val="19"/>
                      <w:szCs w:val="19"/>
                    </w:rPr>
                  </w:pPr>
                </w:p>
              </w:tc>
              <w:tc>
                <w:tcPr>
                  <w:tcW w:w="222" w:type="dxa"/>
                </w:tcPr>
                <w:p w:rsidR="00C76E79" w:rsidRDefault="00C76E79" w:rsidP="00C76E79">
                  <w:pPr>
                    <w:pStyle w:val="Default"/>
                    <w:rPr>
                      <w:sz w:val="19"/>
                      <w:szCs w:val="19"/>
                    </w:rPr>
                  </w:pPr>
                </w:p>
              </w:tc>
              <w:tc>
                <w:tcPr>
                  <w:tcW w:w="222" w:type="dxa"/>
                </w:tcPr>
                <w:p w:rsidR="00C76E79" w:rsidRDefault="00C76E79" w:rsidP="00C76E79">
                  <w:pPr>
                    <w:pStyle w:val="Default"/>
                    <w:rPr>
                      <w:sz w:val="19"/>
                      <w:szCs w:val="19"/>
                    </w:rPr>
                  </w:pPr>
                </w:p>
              </w:tc>
            </w:tr>
          </w:tbl>
          <w:p w:rsidR="00C76E79" w:rsidRPr="00C76E79" w:rsidRDefault="00C76E79" w:rsidP="00C76E79">
            <w:pPr>
              <w:rPr>
                <w:b/>
                <w:sz w:val="19"/>
                <w:szCs w:val="19"/>
              </w:rPr>
            </w:pPr>
          </w:p>
        </w:tc>
        <w:tc>
          <w:tcPr>
            <w:tcW w:w="1757" w:type="dxa"/>
          </w:tcPr>
          <w:p w:rsidR="00C76E79" w:rsidRDefault="00C76E79" w:rsidP="00C76E79">
            <w:pPr>
              <w:rPr>
                <w:sz w:val="19"/>
                <w:szCs w:val="19"/>
              </w:rPr>
            </w:pPr>
            <w:r>
              <w:rPr>
                <w:sz w:val="19"/>
                <w:szCs w:val="19"/>
              </w:rPr>
              <w:t>Oval</w:t>
            </w:r>
          </w:p>
        </w:tc>
        <w:tc>
          <w:tcPr>
            <w:tcW w:w="1915" w:type="dxa"/>
          </w:tcPr>
          <w:p w:rsidR="00C76E79" w:rsidRDefault="00C76E79" w:rsidP="00C76E79">
            <w:pPr>
              <w:rPr>
                <w:sz w:val="19"/>
                <w:szCs w:val="19"/>
              </w:rPr>
            </w:pPr>
            <w:r>
              <w:rPr>
                <w:sz w:val="19"/>
                <w:szCs w:val="19"/>
              </w:rPr>
              <w:t>Spherical</w:t>
            </w:r>
          </w:p>
        </w:tc>
        <w:tc>
          <w:tcPr>
            <w:tcW w:w="1915" w:type="dxa"/>
          </w:tcPr>
          <w:p w:rsidR="00C76E79" w:rsidRDefault="00C76E79" w:rsidP="00C76E79">
            <w:pPr>
              <w:rPr>
                <w:sz w:val="19"/>
                <w:szCs w:val="19"/>
              </w:rPr>
            </w:pPr>
            <w:r>
              <w:rPr>
                <w:sz w:val="19"/>
                <w:szCs w:val="19"/>
              </w:rPr>
              <w:t>Oval</w:t>
            </w:r>
          </w:p>
        </w:tc>
      </w:tr>
      <w:tr w:rsidR="00C76E79" w:rsidTr="00C76E79">
        <w:trPr>
          <w:trHeight w:val="476"/>
        </w:trPr>
        <w:tc>
          <w:tcPr>
            <w:tcW w:w="2101" w:type="dxa"/>
          </w:tcPr>
          <w:tbl>
            <w:tblPr>
              <w:tblW w:w="2250" w:type="dxa"/>
              <w:tblBorders>
                <w:top w:val="nil"/>
                <w:left w:val="nil"/>
                <w:bottom w:val="nil"/>
                <w:right w:val="nil"/>
              </w:tblBorders>
              <w:tblLayout w:type="fixed"/>
              <w:tblLook w:val="0000"/>
            </w:tblPr>
            <w:tblGrid>
              <w:gridCol w:w="1336"/>
              <w:gridCol w:w="327"/>
              <w:gridCol w:w="327"/>
              <w:gridCol w:w="260"/>
            </w:tblGrid>
            <w:tr w:rsidR="00C76E79" w:rsidTr="00C76E79">
              <w:tblPrEx>
                <w:tblCellMar>
                  <w:top w:w="0" w:type="dxa"/>
                  <w:bottom w:w="0" w:type="dxa"/>
                </w:tblCellMar>
              </w:tblPrEx>
              <w:trPr>
                <w:trHeight w:val="198"/>
              </w:trPr>
              <w:tc>
                <w:tcPr>
                  <w:tcW w:w="1336" w:type="dxa"/>
                </w:tcPr>
                <w:p w:rsidR="00C76E79" w:rsidRDefault="00C76E79" w:rsidP="00C76E79">
                  <w:pPr>
                    <w:pStyle w:val="Default"/>
                    <w:rPr>
                      <w:sz w:val="19"/>
                      <w:szCs w:val="19"/>
                    </w:rPr>
                  </w:pPr>
                  <w:r>
                    <w:rPr>
                      <w:sz w:val="19"/>
                      <w:szCs w:val="19"/>
                    </w:rPr>
                    <w:t>Fermentation of Glucose</w:t>
                  </w:r>
                </w:p>
              </w:tc>
              <w:tc>
                <w:tcPr>
                  <w:tcW w:w="327" w:type="dxa"/>
                </w:tcPr>
                <w:p w:rsidR="00C76E79" w:rsidRDefault="00C76E79" w:rsidP="00C76E79">
                  <w:pPr>
                    <w:pStyle w:val="Default"/>
                    <w:rPr>
                      <w:sz w:val="19"/>
                      <w:szCs w:val="19"/>
                    </w:rPr>
                  </w:pPr>
                </w:p>
              </w:tc>
              <w:tc>
                <w:tcPr>
                  <w:tcW w:w="327" w:type="dxa"/>
                </w:tcPr>
                <w:p w:rsidR="00C76E79" w:rsidRDefault="00C76E79" w:rsidP="00C76E79">
                  <w:pPr>
                    <w:pStyle w:val="Default"/>
                    <w:rPr>
                      <w:sz w:val="19"/>
                      <w:szCs w:val="19"/>
                    </w:rPr>
                  </w:pPr>
                </w:p>
              </w:tc>
              <w:tc>
                <w:tcPr>
                  <w:tcW w:w="260" w:type="dxa"/>
                </w:tcPr>
                <w:p w:rsidR="00C76E79" w:rsidRDefault="00C76E79" w:rsidP="00C76E79">
                  <w:pPr>
                    <w:pStyle w:val="Default"/>
                    <w:rPr>
                      <w:sz w:val="19"/>
                      <w:szCs w:val="19"/>
                    </w:rPr>
                  </w:pPr>
                  <w:r>
                    <w:rPr>
                      <w:sz w:val="19"/>
                      <w:szCs w:val="19"/>
                    </w:rPr>
                    <w:t>+</w:t>
                  </w:r>
                </w:p>
              </w:tc>
            </w:tr>
            <w:tr w:rsidR="00C76E79" w:rsidTr="00C76E79">
              <w:tblPrEx>
                <w:tblCellMar>
                  <w:top w:w="0" w:type="dxa"/>
                  <w:bottom w:w="0" w:type="dxa"/>
                </w:tblCellMar>
              </w:tblPrEx>
              <w:trPr>
                <w:trHeight w:val="88"/>
              </w:trPr>
              <w:tc>
                <w:tcPr>
                  <w:tcW w:w="1336" w:type="dxa"/>
                </w:tcPr>
                <w:p w:rsidR="00C76E79" w:rsidRDefault="00C76E79" w:rsidP="00C76E79">
                  <w:pPr>
                    <w:pStyle w:val="Default"/>
                    <w:rPr>
                      <w:sz w:val="19"/>
                      <w:szCs w:val="19"/>
                    </w:rPr>
                  </w:pPr>
                </w:p>
              </w:tc>
              <w:tc>
                <w:tcPr>
                  <w:tcW w:w="327" w:type="dxa"/>
                </w:tcPr>
                <w:p w:rsidR="00C76E79" w:rsidRDefault="00C76E79" w:rsidP="00C76E79">
                  <w:pPr>
                    <w:pStyle w:val="Default"/>
                    <w:rPr>
                      <w:sz w:val="19"/>
                      <w:szCs w:val="19"/>
                    </w:rPr>
                  </w:pPr>
                </w:p>
              </w:tc>
              <w:tc>
                <w:tcPr>
                  <w:tcW w:w="327" w:type="dxa"/>
                </w:tcPr>
                <w:p w:rsidR="00C76E79" w:rsidRDefault="00C76E79" w:rsidP="00C76E79">
                  <w:pPr>
                    <w:pStyle w:val="Default"/>
                    <w:rPr>
                      <w:sz w:val="19"/>
                      <w:szCs w:val="19"/>
                    </w:rPr>
                  </w:pPr>
                </w:p>
              </w:tc>
              <w:tc>
                <w:tcPr>
                  <w:tcW w:w="260" w:type="dxa"/>
                </w:tcPr>
                <w:p w:rsidR="00C76E79" w:rsidRDefault="00C76E79" w:rsidP="00C76E79">
                  <w:pPr>
                    <w:pStyle w:val="Default"/>
                    <w:rPr>
                      <w:sz w:val="19"/>
                      <w:szCs w:val="19"/>
                    </w:rPr>
                  </w:pPr>
                </w:p>
              </w:tc>
            </w:tr>
          </w:tbl>
          <w:p w:rsidR="00C76E79" w:rsidRDefault="00C76E79" w:rsidP="00C76E79">
            <w:pPr>
              <w:rPr>
                <w:sz w:val="19"/>
                <w:szCs w:val="19"/>
              </w:rPr>
            </w:pPr>
          </w:p>
        </w:tc>
        <w:tc>
          <w:tcPr>
            <w:tcW w:w="1757" w:type="dxa"/>
          </w:tcPr>
          <w:p w:rsidR="00C76E79" w:rsidRPr="00C76E79" w:rsidRDefault="00C76E79" w:rsidP="00C76E79">
            <w:pPr>
              <w:pStyle w:val="Default"/>
              <w:rPr>
                <w:b/>
                <w:sz w:val="19"/>
                <w:szCs w:val="19"/>
              </w:rPr>
            </w:pPr>
            <w:r w:rsidRPr="00C76E79">
              <w:rPr>
                <w:b/>
                <w:sz w:val="19"/>
                <w:szCs w:val="19"/>
              </w:rPr>
              <w:t>+</w:t>
            </w:r>
          </w:p>
          <w:p w:rsidR="00C76E79" w:rsidRPr="00C76E79" w:rsidRDefault="00C76E79" w:rsidP="00C76E79">
            <w:pPr>
              <w:rPr>
                <w:b/>
                <w:sz w:val="19"/>
                <w:szCs w:val="19"/>
              </w:rPr>
            </w:pPr>
          </w:p>
        </w:tc>
        <w:tc>
          <w:tcPr>
            <w:tcW w:w="1915" w:type="dxa"/>
          </w:tcPr>
          <w:p w:rsidR="00C76E79" w:rsidRPr="00C76E79" w:rsidRDefault="00C76E79" w:rsidP="00C76E79">
            <w:pPr>
              <w:pStyle w:val="Default"/>
              <w:rPr>
                <w:b/>
                <w:sz w:val="19"/>
                <w:szCs w:val="19"/>
              </w:rPr>
            </w:pPr>
            <w:r w:rsidRPr="00C76E79">
              <w:rPr>
                <w:b/>
                <w:sz w:val="19"/>
                <w:szCs w:val="19"/>
              </w:rPr>
              <w:t>+</w:t>
            </w:r>
          </w:p>
          <w:p w:rsidR="00C76E79" w:rsidRPr="00C76E79" w:rsidRDefault="00C76E79" w:rsidP="00C76E79">
            <w:pPr>
              <w:rPr>
                <w:b/>
                <w:sz w:val="19"/>
                <w:szCs w:val="19"/>
              </w:rPr>
            </w:pPr>
          </w:p>
        </w:tc>
        <w:tc>
          <w:tcPr>
            <w:tcW w:w="1915" w:type="dxa"/>
          </w:tcPr>
          <w:p w:rsidR="00C76E79" w:rsidRPr="00C76E79" w:rsidRDefault="00C76E79" w:rsidP="00C76E79">
            <w:pPr>
              <w:pStyle w:val="Default"/>
              <w:rPr>
                <w:b/>
                <w:sz w:val="19"/>
                <w:szCs w:val="19"/>
              </w:rPr>
            </w:pPr>
            <w:r w:rsidRPr="00C76E79">
              <w:rPr>
                <w:b/>
                <w:sz w:val="19"/>
                <w:szCs w:val="19"/>
              </w:rPr>
              <w:t>+</w:t>
            </w:r>
          </w:p>
          <w:p w:rsidR="00C76E79" w:rsidRPr="00C76E79" w:rsidRDefault="00C76E79" w:rsidP="00C76E79">
            <w:pPr>
              <w:rPr>
                <w:b/>
                <w:sz w:val="19"/>
                <w:szCs w:val="19"/>
              </w:rPr>
            </w:pPr>
          </w:p>
        </w:tc>
      </w:tr>
      <w:tr w:rsidR="00C76E79" w:rsidTr="00C76E79">
        <w:tc>
          <w:tcPr>
            <w:tcW w:w="2101" w:type="dxa"/>
          </w:tcPr>
          <w:tbl>
            <w:tblPr>
              <w:tblW w:w="0" w:type="auto"/>
              <w:tblBorders>
                <w:top w:val="nil"/>
                <w:left w:val="nil"/>
                <w:bottom w:val="nil"/>
                <w:right w:val="nil"/>
              </w:tblBorders>
              <w:tblLayout w:type="fixed"/>
              <w:tblLook w:val="0000"/>
            </w:tblPr>
            <w:tblGrid>
              <w:gridCol w:w="1072"/>
            </w:tblGrid>
            <w:tr w:rsidR="00C76E79" w:rsidTr="00C76E79">
              <w:tblPrEx>
                <w:tblCellMar>
                  <w:top w:w="0" w:type="dxa"/>
                  <w:bottom w:w="0" w:type="dxa"/>
                </w:tblCellMar>
              </w:tblPrEx>
              <w:trPr>
                <w:trHeight w:val="88"/>
              </w:trPr>
              <w:tc>
                <w:tcPr>
                  <w:tcW w:w="1072" w:type="dxa"/>
                </w:tcPr>
                <w:p w:rsidR="00C76E79" w:rsidRDefault="00C76E79" w:rsidP="00C76E79">
                  <w:pPr>
                    <w:pStyle w:val="Default"/>
                    <w:rPr>
                      <w:sz w:val="19"/>
                      <w:szCs w:val="19"/>
                    </w:rPr>
                  </w:pPr>
                  <w:proofErr w:type="spellStart"/>
                  <w:r>
                    <w:rPr>
                      <w:sz w:val="19"/>
                      <w:szCs w:val="19"/>
                    </w:rPr>
                    <w:t>Galactose</w:t>
                  </w:r>
                  <w:proofErr w:type="spellEnd"/>
                </w:p>
              </w:tc>
            </w:tr>
          </w:tbl>
          <w:p w:rsidR="00C76E79" w:rsidRDefault="00C76E79" w:rsidP="00C76E79">
            <w:pPr>
              <w:rPr>
                <w:sz w:val="19"/>
                <w:szCs w:val="19"/>
              </w:rPr>
            </w:pPr>
          </w:p>
        </w:tc>
        <w:tc>
          <w:tcPr>
            <w:tcW w:w="1757" w:type="dxa"/>
          </w:tcPr>
          <w:p w:rsidR="00C76E79" w:rsidRPr="00C76E79" w:rsidRDefault="00C76E79" w:rsidP="00C76E79">
            <w:pPr>
              <w:rPr>
                <w:b/>
                <w:sz w:val="19"/>
                <w:szCs w:val="19"/>
              </w:rPr>
            </w:pPr>
            <w:r w:rsidRPr="00C76E79">
              <w:rPr>
                <w:b/>
                <w:sz w:val="19"/>
                <w:szCs w:val="19"/>
              </w:rPr>
              <w:t>+</w:t>
            </w:r>
          </w:p>
        </w:tc>
        <w:tc>
          <w:tcPr>
            <w:tcW w:w="1915" w:type="dxa"/>
          </w:tcPr>
          <w:p w:rsidR="00C76E79" w:rsidRPr="00C76E79" w:rsidRDefault="00C76E79" w:rsidP="00C76E79">
            <w:pPr>
              <w:rPr>
                <w:b/>
                <w:sz w:val="19"/>
                <w:szCs w:val="19"/>
              </w:rPr>
            </w:pPr>
            <w:r w:rsidRPr="00C76E79">
              <w:rPr>
                <w:b/>
                <w:sz w:val="19"/>
                <w:szCs w:val="19"/>
              </w:rPr>
              <w:t>+</w:t>
            </w:r>
          </w:p>
        </w:tc>
        <w:tc>
          <w:tcPr>
            <w:tcW w:w="1915" w:type="dxa"/>
          </w:tcPr>
          <w:p w:rsidR="00C76E79" w:rsidRPr="00C76E79" w:rsidRDefault="00C76E79" w:rsidP="00C76E79">
            <w:pPr>
              <w:rPr>
                <w:b/>
                <w:sz w:val="19"/>
                <w:szCs w:val="19"/>
              </w:rPr>
            </w:pPr>
            <w:r w:rsidRPr="00C76E79">
              <w:rPr>
                <w:b/>
                <w:sz w:val="19"/>
                <w:szCs w:val="19"/>
              </w:rPr>
              <w:t>+</w:t>
            </w:r>
          </w:p>
        </w:tc>
      </w:tr>
      <w:tr w:rsidR="00C76E79" w:rsidTr="00C76E79">
        <w:tc>
          <w:tcPr>
            <w:tcW w:w="2101" w:type="dxa"/>
          </w:tcPr>
          <w:tbl>
            <w:tblPr>
              <w:tblW w:w="0" w:type="auto"/>
              <w:tblBorders>
                <w:top w:val="nil"/>
                <w:left w:val="nil"/>
                <w:bottom w:val="nil"/>
                <w:right w:val="nil"/>
              </w:tblBorders>
              <w:tblLayout w:type="fixed"/>
              <w:tblLook w:val="0000"/>
            </w:tblPr>
            <w:tblGrid>
              <w:gridCol w:w="914"/>
              <w:gridCol w:w="327"/>
              <w:gridCol w:w="327"/>
              <w:gridCol w:w="327"/>
            </w:tblGrid>
            <w:tr w:rsidR="00C76E79" w:rsidTr="00C76E79">
              <w:tblPrEx>
                <w:tblCellMar>
                  <w:top w:w="0" w:type="dxa"/>
                  <w:bottom w:w="0" w:type="dxa"/>
                </w:tblCellMar>
              </w:tblPrEx>
              <w:trPr>
                <w:trHeight w:val="88"/>
              </w:trPr>
              <w:tc>
                <w:tcPr>
                  <w:tcW w:w="914" w:type="dxa"/>
                </w:tcPr>
                <w:p w:rsidR="00C76E79" w:rsidRDefault="00C76E79" w:rsidP="00C76E79">
                  <w:pPr>
                    <w:pStyle w:val="Default"/>
                    <w:rPr>
                      <w:sz w:val="19"/>
                      <w:szCs w:val="19"/>
                    </w:rPr>
                  </w:pPr>
                  <w:r>
                    <w:rPr>
                      <w:sz w:val="19"/>
                      <w:szCs w:val="19"/>
                    </w:rPr>
                    <w:t>Sucrose</w:t>
                  </w:r>
                </w:p>
              </w:tc>
              <w:tc>
                <w:tcPr>
                  <w:tcW w:w="327" w:type="dxa"/>
                </w:tcPr>
                <w:p w:rsidR="00C76E79" w:rsidRDefault="00C76E79" w:rsidP="00C76E79">
                  <w:pPr>
                    <w:pStyle w:val="Default"/>
                    <w:rPr>
                      <w:sz w:val="19"/>
                      <w:szCs w:val="19"/>
                    </w:rPr>
                  </w:pPr>
                  <w:r>
                    <w:rPr>
                      <w:sz w:val="19"/>
                      <w:szCs w:val="19"/>
                    </w:rPr>
                    <w:t>+</w:t>
                  </w:r>
                </w:p>
              </w:tc>
              <w:tc>
                <w:tcPr>
                  <w:tcW w:w="327" w:type="dxa"/>
                </w:tcPr>
                <w:p w:rsidR="00C76E79" w:rsidRDefault="00C76E79" w:rsidP="00C76E79">
                  <w:pPr>
                    <w:pStyle w:val="Default"/>
                    <w:rPr>
                      <w:sz w:val="19"/>
                      <w:szCs w:val="19"/>
                    </w:rPr>
                  </w:pPr>
                  <w:r>
                    <w:rPr>
                      <w:sz w:val="19"/>
                      <w:szCs w:val="19"/>
                    </w:rPr>
                    <w:t>+</w:t>
                  </w:r>
                </w:p>
              </w:tc>
              <w:tc>
                <w:tcPr>
                  <w:tcW w:w="327" w:type="dxa"/>
                </w:tcPr>
                <w:p w:rsidR="00C76E79" w:rsidRDefault="00C76E79" w:rsidP="00C76E79">
                  <w:pPr>
                    <w:pStyle w:val="Default"/>
                    <w:rPr>
                      <w:sz w:val="19"/>
                      <w:szCs w:val="19"/>
                    </w:rPr>
                  </w:pPr>
                  <w:r>
                    <w:rPr>
                      <w:sz w:val="19"/>
                      <w:szCs w:val="19"/>
                    </w:rPr>
                    <w:t>+</w:t>
                  </w:r>
                </w:p>
              </w:tc>
            </w:tr>
          </w:tbl>
          <w:p w:rsidR="00C76E79" w:rsidRDefault="00C76E79" w:rsidP="00C76E79">
            <w:pPr>
              <w:rPr>
                <w:sz w:val="19"/>
                <w:szCs w:val="19"/>
              </w:rPr>
            </w:pPr>
          </w:p>
        </w:tc>
        <w:tc>
          <w:tcPr>
            <w:tcW w:w="1757" w:type="dxa"/>
          </w:tcPr>
          <w:p w:rsidR="00C76E79" w:rsidRPr="00C76E79" w:rsidRDefault="00C76E79" w:rsidP="00C76E79">
            <w:pPr>
              <w:rPr>
                <w:b/>
                <w:sz w:val="19"/>
                <w:szCs w:val="19"/>
              </w:rPr>
            </w:pPr>
            <w:r w:rsidRPr="00C76E79">
              <w:rPr>
                <w:b/>
                <w:sz w:val="19"/>
                <w:szCs w:val="19"/>
              </w:rPr>
              <w:t>+</w:t>
            </w:r>
          </w:p>
        </w:tc>
        <w:tc>
          <w:tcPr>
            <w:tcW w:w="1915" w:type="dxa"/>
          </w:tcPr>
          <w:p w:rsidR="00C76E79" w:rsidRPr="00C76E79" w:rsidRDefault="00C76E79" w:rsidP="00C76E79">
            <w:pPr>
              <w:rPr>
                <w:b/>
                <w:sz w:val="19"/>
                <w:szCs w:val="19"/>
              </w:rPr>
            </w:pPr>
            <w:r w:rsidRPr="00C76E79">
              <w:rPr>
                <w:b/>
                <w:sz w:val="19"/>
                <w:szCs w:val="19"/>
              </w:rPr>
              <w:t>+</w:t>
            </w:r>
          </w:p>
        </w:tc>
        <w:tc>
          <w:tcPr>
            <w:tcW w:w="1915" w:type="dxa"/>
          </w:tcPr>
          <w:p w:rsidR="00C76E79" w:rsidRPr="00C76E79" w:rsidRDefault="00C76E79" w:rsidP="00C76E79">
            <w:pPr>
              <w:rPr>
                <w:b/>
                <w:sz w:val="19"/>
                <w:szCs w:val="19"/>
              </w:rPr>
            </w:pPr>
            <w:r w:rsidRPr="00C76E79">
              <w:rPr>
                <w:b/>
                <w:sz w:val="19"/>
                <w:szCs w:val="19"/>
              </w:rPr>
              <w:t>+</w:t>
            </w:r>
          </w:p>
        </w:tc>
      </w:tr>
      <w:tr w:rsidR="00C76E79" w:rsidTr="00C76E79">
        <w:tc>
          <w:tcPr>
            <w:tcW w:w="2101" w:type="dxa"/>
          </w:tcPr>
          <w:tbl>
            <w:tblPr>
              <w:tblW w:w="0" w:type="auto"/>
              <w:tblBorders>
                <w:top w:val="nil"/>
                <w:left w:val="nil"/>
                <w:bottom w:val="nil"/>
                <w:right w:val="nil"/>
              </w:tblBorders>
              <w:tblLayout w:type="fixed"/>
              <w:tblLook w:val="0000"/>
            </w:tblPr>
            <w:tblGrid>
              <w:gridCol w:w="882"/>
              <w:gridCol w:w="327"/>
              <w:gridCol w:w="327"/>
              <w:gridCol w:w="327"/>
            </w:tblGrid>
            <w:tr w:rsidR="00C76E79" w:rsidTr="00C76E79">
              <w:tblPrEx>
                <w:tblCellMar>
                  <w:top w:w="0" w:type="dxa"/>
                  <w:bottom w:w="0" w:type="dxa"/>
                </w:tblCellMar>
              </w:tblPrEx>
              <w:trPr>
                <w:trHeight w:val="88"/>
              </w:trPr>
              <w:tc>
                <w:tcPr>
                  <w:tcW w:w="882" w:type="dxa"/>
                </w:tcPr>
                <w:p w:rsidR="00C76E79" w:rsidRDefault="00C76E79" w:rsidP="00C76E79">
                  <w:pPr>
                    <w:pStyle w:val="Default"/>
                    <w:rPr>
                      <w:sz w:val="19"/>
                      <w:szCs w:val="19"/>
                    </w:rPr>
                  </w:pPr>
                  <w:r>
                    <w:rPr>
                      <w:sz w:val="19"/>
                      <w:szCs w:val="19"/>
                    </w:rPr>
                    <w:t>Maltose</w:t>
                  </w:r>
                </w:p>
              </w:tc>
              <w:tc>
                <w:tcPr>
                  <w:tcW w:w="327" w:type="dxa"/>
                </w:tcPr>
                <w:p w:rsidR="00C76E79" w:rsidRDefault="00C76E79" w:rsidP="00C76E79">
                  <w:pPr>
                    <w:pStyle w:val="Default"/>
                    <w:rPr>
                      <w:sz w:val="19"/>
                      <w:szCs w:val="19"/>
                    </w:rPr>
                  </w:pPr>
                  <w:r>
                    <w:rPr>
                      <w:sz w:val="19"/>
                      <w:szCs w:val="19"/>
                    </w:rPr>
                    <w:t>+</w:t>
                  </w:r>
                </w:p>
              </w:tc>
              <w:tc>
                <w:tcPr>
                  <w:tcW w:w="327" w:type="dxa"/>
                </w:tcPr>
                <w:p w:rsidR="00C76E79" w:rsidRDefault="00C76E79" w:rsidP="00C76E79">
                  <w:pPr>
                    <w:pStyle w:val="Default"/>
                    <w:rPr>
                      <w:sz w:val="19"/>
                      <w:szCs w:val="19"/>
                    </w:rPr>
                  </w:pPr>
                  <w:r>
                    <w:rPr>
                      <w:sz w:val="19"/>
                      <w:szCs w:val="19"/>
                    </w:rPr>
                    <w:t>+</w:t>
                  </w:r>
                </w:p>
              </w:tc>
              <w:tc>
                <w:tcPr>
                  <w:tcW w:w="327" w:type="dxa"/>
                </w:tcPr>
                <w:p w:rsidR="00C76E79" w:rsidRDefault="00C76E79" w:rsidP="00C76E79">
                  <w:pPr>
                    <w:pStyle w:val="Default"/>
                    <w:rPr>
                      <w:sz w:val="19"/>
                      <w:szCs w:val="19"/>
                    </w:rPr>
                  </w:pPr>
                  <w:r>
                    <w:rPr>
                      <w:sz w:val="19"/>
                      <w:szCs w:val="19"/>
                    </w:rPr>
                    <w:t>+</w:t>
                  </w:r>
                </w:p>
              </w:tc>
            </w:tr>
          </w:tbl>
          <w:p w:rsidR="00C76E79" w:rsidRDefault="00C76E79" w:rsidP="00C76E79">
            <w:pPr>
              <w:rPr>
                <w:sz w:val="19"/>
                <w:szCs w:val="19"/>
              </w:rPr>
            </w:pPr>
          </w:p>
        </w:tc>
        <w:tc>
          <w:tcPr>
            <w:tcW w:w="1757" w:type="dxa"/>
          </w:tcPr>
          <w:p w:rsidR="00C76E79" w:rsidRPr="00C76E79" w:rsidRDefault="00C76E79" w:rsidP="00C76E79">
            <w:pPr>
              <w:rPr>
                <w:b/>
                <w:sz w:val="19"/>
                <w:szCs w:val="19"/>
              </w:rPr>
            </w:pPr>
            <w:r w:rsidRPr="00C76E79">
              <w:rPr>
                <w:b/>
                <w:sz w:val="19"/>
                <w:szCs w:val="19"/>
              </w:rPr>
              <w:t>+</w:t>
            </w:r>
          </w:p>
        </w:tc>
        <w:tc>
          <w:tcPr>
            <w:tcW w:w="1915" w:type="dxa"/>
          </w:tcPr>
          <w:p w:rsidR="00C76E79" w:rsidRPr="00C76E79" w:rsidRDefault="00C76E79" w:rsidP="00C76E79">
            <w:pPr>
              <w:rPr>
                <w:b/>
                <w:sz w:val="19"/>
                <w:szCs w:val="19"/>
              </w:rPr>
            </w:pPr>
            <w:r w:rsidRPr="00C76E79">
              <w:rPr>
                <w:b/>
                <w:sz w:val="19"/>
                <w:szCs w:val="19"/>
              </w:rPr>
              <w:t>+</w:t>
            </w:r>
          </w:p>
        </w:tc>
        <w:tc>
          <w:tcPr>
            <w:tcW w:w="1915" w:type="dxa"/>
          </w:tcPr>
          <w:p w:rsidR="00C76E79" w:rsidRPr="00C76E79" w:rsidRDefault="00C76E79" w:rsidP="00C76E79">
            <w:pPr>
              <w:rPr>
                <w:b/>
                <w:sz w:val="19"/>
                <w:szCs w:val="19"/>
              </w:rPr>
            </w:pPr>
            <w:r w:rsidRPr="00C76E79">
              <w:rPr>
                <w:b/>
                <w:sz w:val="19"/>
                <w:szCs w:val="19"/>
              </w:rPr>
              <w:t>+</w:t>
            </w:r>
          </w:p>
        </w:tc>
      </w:tr>
      <w:tr w:rsidR="00C76E79" w:rsidTr="00C76E79">
        <w:tc>
          <w:tcPr>
            <w:tcW w:w="2101" w:type="dxa"/>
          </w:tcPr>
          <w:tbl>
            <w:tblPr>
              <w:tblW w:w="0" w:type="auto"/>
              <w:tblBorders>
                <w:top w:val="nil"/>
                <w:left w:val="nil"/>
                <w:bottom w:val="nil"/>
                <w:right w:val="nil"/>
              </w:tblBorders>
              <w:tblLayout w:type="fixed"/>
              <w:tblLook w:val="0000"/>
            </w:tblPr>
            <w:tblGrid>
              <w:gridCol w:w="882"/>
            </w:tblGrid>
            <w:tr w:rsidR="00C76E79" w:rsidTr="00C76E79">
              <w:tblPrEx>
                <w:tblCellMar>
                  <w:top w:w="0" w:type="dxa"/>
                  <w:bottom w:w="0" w:type="dxa"/>
                </w:tblCellMar>
              </w:tblPrEx>
              <w:trPr>
                <w:trHeight w:val="88"/>
              </w:trPr>
              <w:tc>
                <w:tcPr>
                  <w:tcW w:w="882" w:type="dxa"/>
                </w:tcPr>
                <w:p w:rsidR="00C76E79" w:rsidRDefault="00C76E79" w:rsidP="00C76E79">
                  <w:pPr>
                    <w:pStyle w:val="Default"/>
                    <w:rPr>
                      <w:sz w:val="19"/>
                      <w:szCs w:val="19"/>
                    </w:rPr>
                  </w:pPr>
                  <w:r>
                    <w:rPr>
                      <w:sz w:val="19"/>
                      <w:szCs w:val="19"/>
                    </w:rPr>
                    <w:t>Lactose</w:t>
                  </w:r>
                </w:p>
              </w:tc>
            </w:tr>
          </w:tbl>
          <w:p w:rsidR="00C76E79" w:rsidRDefault="00C76E79" w:rsidP="00C76E79">
            <w:pPr>
              <w:rPr>
                <w:sz w:val="19"/>
                <w:szCs w:val="19"/>
              </w:rPr>
            </w:pPr>
          </w:p>
        </w:tc>
        <w:tc>
          <w:tcPr>
            <w:tcW w:w="1757" w:type="dxa"/>
          </w:tcPr>
          <w:p w:rsidR="00C76E79" w:rsidRPr="00C76E79" w:rsidRDefault="00C76E79" w:rsidP="00C76E79">
            <w:pPr>
              <w:pStyle w:val="Default"/>
              <w:rPr>
                <w:b/>
                <w:sz w:val="19"/>
                <w:szCs w:val="19"/>
              </w:rPr>
            </w:pPr>
            <w:r w:rsidRPr="00C76E79">
              <w:rPr>
                <w:b/>
                <w:sz w:val="19"/>
                <w:szCs w:val="19"/>
              </w:rPr>
              <w:t>-</w:t>
            </w:r>
          </w:p>
          <w:p w:rsidR="00C76E79" w:rsidRPr="00C76E79" w:rsidRDefault="00C76E79" w:rsidP="00C76E79">
            <w:pPr>
              <w:rPr>
                <w:b/>
                <w:sz w:val="19"/>
                <w:szCs w:val="19"/>
              </w:rPr>
            </w:pPr>
          </w:p>
        </w:tc>
        <w:tc>
          <w:tcPr>
            <w:tcW w:w="1915" w:type="dxa"/>
          </w:tcPr>
          <w:p w:rsidR="00C76E79" w:rsidRPr="00C76E79" w:rsidRDefault="00C76E79" w:rsidP="00C76E79">
            <w:pPr>
              <w:pStyle w:val="Default"/>
              <w:rPr>
                <w:b/>
                <w:sz w:val="19"/>
                <w:szCs w:val="19"/>
              </w:rPr>
            </w:pPr>
            <w:r w:rsidRPr="00C76E79">
              <w:rPr>
                <w:b/>
                <w:sz w:val="19"/>
                <w:szCs w:val="19"/>
              </w:rPr>
              <w:t>-</w:t>
            </w:r>
          </w:p>
          <w:p w:rsidR="00C76E79" w:rsidRPr="00C76E79" w:rsidRDefault="00C76E79" w:rsidP="00C76E79">
            <w:pPr>
              <w:rPr>
                <w:b/>
                <w:sz w:val="19"/>
                <w:szCs w:val="19"/>
              </w:rPr>
            </w:pPr>
          </w:p>
        </w:tc>
        <w:tc>
          <w:tcPr>
            <w:tcW w:w="1915" w:type="dxa"/>
          </w:tcPr>
          <w:p w:rsidR="00C76E79" w:rsidRPr="00C76E79" w:rsidRDefault="00C76E79" w:rsidP="00C76E79">
            <w:pPr>
              <w:pStyle w:val="Default"/>
              <w:rPr>
                <w:b/>
                <w:sz w:val="19"/>
                <w:szCs w:val="19"/>
              </w:rPr>
            </w:pPr>
            <w:r w:rsidRPr="00C76E79">
              <w:rPr>
                <w:b/>
                <w:sz w:val="19"/>
                <w:szCs w:val="19"/>
              </w:rPr>
              <w:t>-</w:t>
            </w:r>
          </w:p>
          <w:p w:rsidR="00C76E79" w:rsidRPr="00C76E79" w:rsidRDefault="00C76E79" w:rsidP="00C76E79">
            <w:pPr>
              <w:rPr>
                <w:b/>
                <w:sz w:val="19"/>
                <w:szCs w:val="19"/>
              </w:rPr>
            </w:pPr>
          </w:p>
        </w:tc>
      </w:tr>
      <w:tr w:rsidR="00C76E79" w:rsidTr="00C76E79">
        <w:tc>
          <w:tcPr>
            <w:tcW w:w="2101" w:type="dxa"/>
          </w:tcPr>
          <w:tbl>
            <w:tblPr>
              <w:tblW w:w="0" w:type="auto"/>
              <w:tblBorders>
                <w:top w:val="nil"/>
                <w:left w:val="nil"/>
                <w:bottom w:val="nil"/>
                <w:right w:val="nil"/>
              </w:tblBorders>
              <w:tblLayout w:type="fixed"/>
              <w:tblLook w:val="0000"/>
            </w:tblPr>
            <w:tblGrid>
              <w:gridCol w:w="1477"/>
              <w:gridCol w:w="280"/>
            </w:tblGrid>
            <w:tr w:rsidR="00C76E79" w:rsidTr="00C76E79">
              <w:tblPrEx>
                <w:tblCellMar>
                  <w:top w:w="0" w:type="dxa"/>
                  <w:bottom w:w="0" w:type="dxa"/>
                </w:tblCellMar>
              </w:tblPrEx>
              <w:trPr>
                <w:trHeight w:val="198"/>
              </w:trPr>
              <w:tc>
                <w:tcPr>
                  <w:tcW w:w="1477" w:type="dxa"/>
                </w:tcPr>
                <w:p w:rsidR="00C76E79" w:rsidRDefault="00C76E79" w:rsidP="00C76E79">
                  <w:pPr>
                    <w:pStyle w:val="Default"/>
                    <w:rPr>
                      <w:sz w:val="19"/>
                      <w:szCs w:val="19"/>
                    </w:rPr>
                  </w:pPr>
                  <w:r>
                    <w:rPr>
                      <w:sz w:val="19"/>
                      <w:szCs w:val="19"/>
                    </w:rPr>
                    <w:t>Nitrate utilization</w:t>
                  </w:r>
                </w:p>
              </w:tc>
              <w:tc>
                <w:tcPr>
                  <w:tcW w:w="280" w:type="dxa"/>
                </w:tcPr>
                <w:p w:rsidR="00C76E79" w:rsidRDefault="00C76E79" w:rsidP="00C76E79">
                  <w:pPr>
                    <w:pStyle w:val="Default"/>
                    <w:rPr>
                      <w:sz w:val="19"/>
                      <w:szCs w:val="19"/>
                    </w:rPr>
                  </w:pPr>
                </w:p>
              </w:tc>
            </w:tr>
          </w:tbl>
          <w:p w:rsidR="00C76E79" w:rsidRDefault="00C76E79" w:rsidP="00C76E79">
            <w:pPr>
              <w:rPr>
                <w:sz w:val="19"/>
                <w:szCs w:val="19"/>
              </w:rPr>
            </w:pPr>
          </w:p>
        </w:tc>
        <w:tc>
          <w:tcPr>
            <w:tcW w:w="1757" w:type="dxa"/>
          </w:tcPr>
          <w:p w:rsidR="00C76E79" w:rsidRPr="00C76E79" w:rsidRDefault="00C76E79" w:rsidP="00C76E79">
            <w:pPr>
              <w:pStyle w:val="Default"/>
              <w:rPr>
                <w:b/>
                <w:sz w:val="19"/>
                <w:szCs w:val="19"/>
              </w:rPr>
            </w:pPr>
            <w:r w:rsidRPr="00C76E79">
              <w:rPr>
                <w:b/>
                <w:bCs/>
                <w:sz w:val="19"/>
                <w:szCs w:val="19"/>
              </w:rPr>
              <w:t>-</w:t>
            </w:r>
          </w:p>
          <w:p w:rsidR="00C76E79" w:rsidRPr="00C76E79" w:rsidRDefault="00C76E79" w:rsidP="00C76E79">
            <w:pPr>
              <w:rPr>
                <w:b/>
                <w:sz w:val="19"/>
                <w:szCs w:val="19"/>
              </w:rPr>
            </w:pPr>
          </w:p>
        </w:tc>
        <w:tc>
          <w:tcPr>
            <w:tcW w:w="1915" w:type="dxa"/>
          </w:tcPr>
          <w:p w:rsidR="00C76E79" w:rsidRPr="00C76E79" w:rsidRDefault="00C76E79" w:rsidP="00C76E79">
            <w:pPr>
              <w:pStyle w:val="Default"/>
              <w:rPr>
                <w:b/>
                <w:sz w:val="19"/>
                <w:szCs w:val="19"/>
              </w:rPr>
            </w:pPr>
            <w:r w:rsidRPr="00C76E79">
              <w:rPr>
                <w:b/>
                <w:bCs/>
                <w:sz w:val="19"/>
                <w:szCs w:val="19"/>
              </w:rPr>
              <w:t>-</w:t>
            </w:r>
          </w:p>
          <w:p w:rsidR="00C76E79" w:rsidRPr="00C76E79" w:rsidRDefault="00C76E79" w:rsidP="00C76E79">
            <w:pPr>
              <w:rPr>
                <w:b/>
                <w:sz w:val="19"/>
                <w:szCs w:val="19"/>
              </w:rPr>
            </w:pPr>
          </w:p>
        </w:tc>
        <w:tc>
          <w:tcPr>
            <w:tcW w:w="1915" w:type="dxa"/>
          </w:tcPr>
          <w:p w:rsidR="00C76E79" w:rsidRPr="00C76E79" w:rsidRDefault="00C76E79" w:rsidP="00C76E79">
            <w:pPr>
              <w:pStyle w:val="Default"/>
              <w:rPr>
                <w:b/>
                <w:sz w:val="19"/>
                <w:szCs w:val="19"/>
              </w:rPr>
            </w:pPr>
            <w:r w:rsidRPr="00C76E79">
              <w:rPr>
                <w:b/>
                <w:bCs/>
                <w:sz w:val="19"/>
                <w:szCs w:val="19"/>
              </w:rPr>
              <w:t>-</w:t>
            </w:r>
          </w:p>
          <w:p w:rsidR="00C76E79" w:rsidRPr="00C76E79" w:rsidRDefault="00C76E79" w:rsidP="00C76E79">
            <w:pPr>
              <w:rPr>
                <w:b/>
                <w:sz w:val="19"/>
                <w:szCs w:val="19"/>
              </w:rPr>
            </w:pPr>
          </w:p>
        </w:tc>
      </w:tr>
      <w:tr w:rsidR="00C76E79" w:rsidTr="00C76E79">
        <w:tc>
          <w:tcPr>
            <w:tcW w:w="2101" w:type="dxa"/>
          </w:tcPr>
          <w:p w:rsidR="00C76E79" w:rsidRDefault="00C76E79" w:rsidP="00C76E79">
            <w:pPr>
              <w:rPr>
                <w:sz w:val="19"/>
                <w:szCs w:val="19"/>
              </w:rPr>
            </w:pPr>
            <w:proofErr w:type="spellStart"/>
            <w:r>
              <w:rPr>
                <w:sz w:val="19"/>
                <w:szCs w:val="19"/>
              </w:rPr>
              <w:t>Urease</w:t>
            </w:r>
            <w:proofErr w:type="spellEnd"/>
            <w:r>
              <w:rPr>
                <w:sz w:val="19"/>
                <w:szCs w:val="19"/>
              </w:rPr>
              <w:t xml:space="preserve"> production</w:t>
            </w:r>
          </w:p>
        </w:tc>
        <w:tc>
          <w:tcPr>
            <w:tcW w:w="1757" w:type="dxa"/>
          </w:tcPr>
          <w:p w:rsidR="00C76E79" w:rsidRPr="00C76E79" w:rsidRDefault="00C76E79" w:rsidP="00C76E79">
            <w:pPr>
              <w:rPr>
                <w:b/>
                <w:sz w:val="19"/>
                <w:szCs w:val="19"/>
              </w:rPr>
            </w:pPr>
            <w:r w:rsidRPr="00C76E79">
              <w:rPr>
                <w:b/>
                <w:sz w:val="19"/>
                <w:szCs w:val="19"/>
              </w:rPr>
              <w:t>+</w:t>
            </w:r>
          </w:p>
        </w:tc>
        <w:tc>
          <w:tcPr>
            <w:tcW w:w="1915" w:type="dxa"/>
          </w:tcPr>
          <w:p w:rsidR="00C76E79" w:rsidRPr="00C76E79" w:rsidRDefault="00C76E79" w:rsidP="00C76E79">
            <w:pPr>
              <w:rPr>
                <w:b/>
                <w:sz w:val="19"/>
                <w:szCs w:val="19"/>
              </w:rPr>
            </w:pPr>
            <w:r w:rsidRPr="00C76E79">
              <w:rPr>
                <w:b/>
                <w:sz w:val="19"/>
                <w:szCs w:val="19"/>
              </w:rPr>
              <w:t>+</w:t>
            </w:r>
          </w:p>
        </w:tc>
        <w:tc>
          <w:tcPr>
            <w:tcW w:w="1915" w:type="dxa"/>
          </w:tcPr>
          <w:p w:rsidR="00C76E79" w:rsidRPr="00C76E79" w:rsidRDefault="00C76E79" w:rsidP="00C76E79">
            <w:pPr>
              <w:rPr>
                <w:b/>
                <w:sz w:val="19"/>
                <w:szCs w:val="19"/>
              </w:rPr>
            </w:pPr>
            <w:r w:rsidRPr="00C76E79">
              <w:rPr>
                <w:b/>
                <w:sz w:val="19"/>
                <w:szCs w:val="19"/>
              </w:rPr>
              <w:t>+</w:t>
            </w:r>
          </w:p>
        </w:tc>
      </w:tr>
      <w:tr w:rsidR="00C76E79" w:rsidTr="00C76E79">
        <w:tc>
          <w:tcPr>
            <w:tcW w:w="2101" w:type="dxa"/>
          </w:tcPr>
          <w:p w:rsidR="00C76E79" w:rsidRDefault="00C76E79" w:rsidP="00C76E79">
            <w:pPr>
              <w:pStyle w:val="Default"/>
              <w:rPr>
                <w:sz w:val="19"/>
                <w:szCs w:val="19"/>
              </w:rPr>
            </w:pPr>
            <w:r>
              <w:rPr>
                <w:sz w:val="19"/>
                <w:szCs w:val="19"/>
              </w:rPr>
              <w:t>Alcohol production</w:t>
            </w:r>
          </w:p>
          <w:p w:rsidR="00C76E79" w:rsidRDefault="00C76E79" w:rsidP="00C76E79">
            <w:pPr>
              <w:rPr>
                <w:sz w:val="19"/>
                <w:szCs w:val="19"/>
              </w:rPr>
            </w:pPr>
          </w:p>
        </w:tc>
        <w:tc>
          <w:tcPr>
            <w:tcW w:w="1757" w:type="dxa"/>
          </w:tcPr>
          <w:p w:rsidR="00C76E79" w:rsidRPr="00C76E79" w:rsidRDefault="00C76E79" w:rsidP="00C76E79">
            <w:pPr>
              <w:rPr>
                <w:b/>
                <w:sz w:val="19"/>
                <w:szCs w:val="19"/>
              </w:rPr>
            </w:pPr>
            <w:r w:rsidRPr="00C76E79">
              <w:rPr>
                <w:b/>
                <w:sz w:val="19"/>
                <w:szCs w:val="19"/>
              </w:rPr>
              <w:t>+</w:t>
            </w:r>
          </w:p>
        </w:tc>
        <w:tc>
          <w:tcPr>
            <w:tcW w:w="1915" w:type="dxa"/>
          </w:tcPr>
          <w:p w:rsidR="00C76E79" w:rsidRPr="00C76E79" w:rsidRDefault="00C76E79" w:rsidP="00C76E79">
            <w:pPr>
              <w:rPr>
                <w:b/>
                <w:sz w:val="19"/>
                <w:szCs w:val="19"/>
              </w:rPr>
            </w:pPr>
            <w:r w:rsidRPr="00C76E79">
              <w:rPr>
                <w:b/>
                <w:sz w:val="19"/>
                <w:szCs w:val="19"/>
              </w:rPr>
              <w:t>+</w:t>
            </w:r>
          </w:p>
        </w:tc>
        <w:tc>
          <w:tcPr>
            <w:tcW w:w="1915" w:type="dxa"/>
          </w:tcPr>
          <w:p w:rsidR="00C76E79" w:rsidRPr="00C76E79" w:rsidRDefault="00C76E79" w:rsidP="00C76E79">
            <w:pPr>
              <w:rPr>
                <w:b/>
                <w:sz w:val="19"/>
                <w:szCs w:val="19"/>
              </w:rPr>
            </w:pPr>
            <w:r w:rsidRPr="00C76E79">
              <w:rPr>
                <w:b/>
                <w:sz w:val="19"/>
                <w:szCs w:val="19"/>
              </w:rPr>
              <w:t>+</w:t>
            </w:r>
          </w:p>
        </w:tc>
      </w:tr>
    </w:tbl>
    <w:p w:rsidR="00932EC9" w:rsidRDefault="00932EC9" w:rsidP="00932EC9">
      <w:pPr>
        <w:rPr>
          <w:sz w:val="19"/>
          <w:szCs w:val="19"/>
        </w:rPr>
      </w:pPr>
    </w:p>
    <w:p w:rsidR="00C76E79" w:rsidRDefault="00C76E79" w:rsidP="00932EC9">
      <w:pPr>
        <w:rPr>
          <w:sz w:val="19"/>
          <w:szCs w:val="19"/>
        </w:rPr>
      </w:pPr>
    </w:p>
    <w:p w:rsidR="00C76E79" w:rsidRDefault="00C76E79" w:rsidP="00932EC9">
      <w:pPr>
        <w:rPr>
          <w:sz w:val="19"/>
          <w:szCs w:val="19"/>
        </w:rPr>
      </w:pPr>
      <w:r>
        <w:rPr>
          <w:noProof/>
          <w:sz w:val="19"/>
          <w:szCs w:val="19"/>
        </w:rPr>
        <w:lastRenderedPageBreak/>
        <w:drawing>
          <wp:inline distT="0" distB="0" distL="0" distR="0">
            <wp:extent cx="4259580" cy="3136900"/>
            <wp:effectExtent l="1905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259580" cy="3136900"/>
                    </a:xfrm>
                    <a:prstGeom prst="rect">
                      <a:avLst/>
                    </a:prstGeom>
                    <a:noFill/>
                    <a:ln w="9525">
                      <a:noFill/>
                      <a:miter lim="800000"/>
                      <a:headEnd/>
                      <a:tailEnd/>
                    </a:ln>
                  </pic:spPr>
                </pic:pic>
              </a:graphicData>
            </a:graphic>
          </wp:inline>
        </w:drawing>
      </w:r>
    </w:p>
    <w:p w:rsidR="00C76E79" w:rsidRDefault="00C76E79" w:rsidP="00932EC9">
      <w:pPr>
        <w:rPr>
          <w:sz w:val="19"/>
          <w:szCs w:val="19"/>
        </w:rPr>
      </w:pPr>
      <w:r>
        <w:rPr>
          <w:b/>
          <w:bCs/>
          <w:sz w:val="19"/>
          <w:szCs w:val="19"/>
        </w:rPr>
        <w:t xml:space="preserve">Figure 1: </w:t>
      </w:r>
      <w:r>
        <w:rPr>
          <w:sz w:val="19"/>
          <w:szCs w:val="19"/>
        </w:rPr>
        <w:t xml:space="preserve">Effect of incubation time on Dye </w:t>
      </w:r>
      <w:proofErr w:type="spellStart"/>
      <w:r>
        <w:rPr>
          <w:sz w:val="19"/>
          <w:szCs w:val="19"/>
        </w:rPr>
        <w:t>decolorization</w:t>
      </w:r>
      <w:proofErr w:type="spellEnd"/>
      <w:r>
        <w:rPr>
          <w:sz w:val="19"/>
          <w:szCs w:val="19"/>
        </w:rPr>
        <w:t xml:space="preserve"> by immobilized </w:t>
      </w:r>
      <w:proofErr w:type="gramStart"/>
      <w:r>
        <w:rPr>
          <w:sz w:val="19"/>
          <w:szCs w:val="19"/>
        </w:rPr>
        <w:t>yeast .</w:t>
      </w:r>
      <w:proofErr w:type="gramEnd"/>
    </w:p>
    <w:p w:rsidR="00C76E79" w:rsidRDefault="00C76E79" w:rsidP="00932EC9">
      <w:pPr>
        <w:rPr>
          <w:sz w:val="19"/>
          <w:szCs w:val="19"/>
        </w:rPr>
      </w:pPr>
      <w:r>
        <w:rPr>
          <w:noProof/>
          <w:sz w:val="19"/>
          <w:szCs w:val="19"/>
        </w:rPr>
        <w:drawing>
          <wp:inline distT="0" distB="0" distL="0" distR="0">
            <wp:extent cx="3906520" cy="315087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3906520" cy="3150870"/>
                    </a:xfrm>
                    <a:prstGeom prst="rect">
                      <a:avLst/>
                    </a:prstGeom>
                    <a:noFill/>
                    <a:ln w="9525">
                      <a:noFill/>
                      <a:miter lim="800000"/>
                      <a:headEnd/>
                      <a:tailEnd/>
                    </a:ln>
                  </pic:spPr>
                </pic:pic>
              </a:graphicData>
            </a:graphic>
          </wp:inline>
        </w:drawing>
      </w:r>
    </w:p>
    <w:p w:rsidR="003426D1" w:rsidRDefault="00C76E79" w:rsidP="003426D1">
      <w:pPr>
        <w:rPr>
          <w:sz w:val="19"/>
          <w:szCs w:val="19"/>
        </w:rPr>
      </w:pPr>
      <w:r>
        <w:rPr>
          <w:b/>
          <w:bCs/>
          <w:sz w:val="19"/>
          <w:szCs w:val="19"/>
        </w:rPr>
        <w:t xml:space="preserve">Figure </w:t>
      </w:r>
      <w:r w:rsidR="004E4D08">
        <w:rPr>
          <w:b/>
          <w:bCs/>
          <w:sz w:val="19"/>
          <w:szCs w:val="19"/>
        </w:rPr>
        <w:t>2</w:t>
      </w:r>
      <w:r>
        <w:rPr>
          <w:b/>
          <w:bCs/>
          <w:sz w:val="19"/>
          <w:szCs w:val="19"/>
        </w:rPr>
        <w:t xml:space="preserve">: </w:t>
      </w:r>
      <w:proofErr w:type="spellStart"/>
      <w:r>
        <w:rPr>
          <w:sz w:val="19"/>
          <w:szCs w:val="19"/>
        </w:rPr>
        <w:t>Decolorization</w:t>
      </w:r>
      <w:proofErr w:type="spellEnd"/>
      <w:r>
        <w:rPr>
          <w:sz w:val="19"/>
          <w:szCs w:val="19"/>
        </w:rPr>
        <w:t xml:space="preserve"> of different concentrations of mono </w:t>
      </w:r>
      <w:proofErr w:type="spellStart"/>
      <w:r>
        <w:rPr>
          <w:sz w:val="19"/>
          <w:szCs w:val="19"/>
        </w:rPr>
        <w:t>azo</w:t>
      </w:r>
      <w:proofErr w:type="spellEnd"/>
      <w:r>
        <w:rPr>
          <w:sz w:val="19"/>
          <w:szCs w:val="19"/>
        </w:rPr>
        <w:t xml:space="preserve"> and </w:t>
      </w:r>
      <w:proofErr w:type="spellStart"/>
      <w:r>
        <w:rPr>
          <w:sz w:val="19"/>
          <w:szCs w:val="19"/>
        </w:rPr>
        <w:t>di</w:t>
      </w:r>
      <w:proofErr w:type="spellEnd"/>
      <w:r>
        <w:rPr>
          <w:sz w:val="19"/>
          <w:szCs w:val="19"/>
        </w:rPr>
        <w:t xml:space="preserve"> </w:t>
      </w:r>
      <w:proofErr w:type="spellStart"/>
      <w:r>
        <w:rPr>
          <w:sz w:val="19"/>
          <w:szCs w:val="19"/>
        </w:rPr>
        <w:t>azo</w:t>
      </w:r>
      <w:proofErr w:type="spellEnd"/>
      <w:r>
        <w:rPr>
          <w:sz w:val="19"/>
          <w:szCs w:val="19"/>
        </w:rPr>
        <w:t xml:space="preserve"> dyes by yeast isolate.</w:t>
      </w:r>
    </w:p>
    <w:p w:rsidR="003426D1" w:rsidRDefault="003426D1" w:rsidP="003426D1">
      <w:pPr>
        <w:rPr>
          <w:sz w:val="19"/>
          <w:szCs w:val="19"/>
        </w:rPr>
      </w:pPr>
    </w:p>
    <w:p w:rsidR="003426D1" w:rsidRDefault="003426D1" w:rsidP="003426D1">
      <w:pPr>
        <w:rPr>
          <w:sz w:val="19"/>
          <w:szCs w:val="19"/>
        </w:rPr>
      </w:pPr>
    </w:p>
    <w:p w:rsidR="004E4D08" w:rsidRPr="003426D1" w:rsidRDefault="004E4D08" w:rsidP="003426D1">
      <w:pPr>
        <w:rPr>
          <w:sz w:val="19"/>
          <w:szCs w:val="19"/>
        </w:rPr>
      </w:pPr>
      <w:r>
        <w:rPr>
          <w:b/>
          <w:bCs/>
          <w:sz w:val="23"/>
          <w:szCs w:val="23"/>
        </w:rPr>
        <w:lastRenderedPageBreak/>
        <w:t xml:space="preserve"> R</w:t>
      </w:r>
      <w:r>
        <w:rPr>
          <w:b/>
          <w:bCs/>
          <w:sz w:val="18"/>
          <w:szCs w:val="18"/>
        </w:rPr>
        <w:t>EFERENCES</w:t>
      </w:r>
      <w:r>
        <w:rPr>
          <w:b/>
          <w:bCs/>
          <w:sz w:val="23"/>
          <w:szCs w:val="23"/>
        </w:rPr>
        <w:t xml:space="preserve">: </w:t>
      </w:r>
    </w:p>
    <w:p w:rsidR="004E4D08" w:rsidRDefault="004E4D08" w:rsidP="004E4D08">
      <w:pPr>
        <w:pStyle w:val="Default"/>
        <w:rPr>
          <w:sz w:val="19"/>
          <w:szCs w:val="19"/>
        </w:rPr>
      </w:pPr>
      <w:r>
        <w:rPr>
          <w:sz w:val="19"/>
          <w:szCs w:val="19"/>
        </w:rPr>
        <w:t>[1]. H.J .</w:t>
      </w:r>
      <w:proofErr w:type="spellStart"/>
      <w:r>
        <w:rPr>
          <w:sz w:val="19"/>
          <w:szCs w:val="19"/>
        </w:rPr>
        <w:t>Knackmuss</w:t>
      </w:r>
      <w:proofErr w:type="gramStart"/>
      <w:r>
        <w:rPr>
          <w:sz w:val="19"/>
          <w:szCs w:val="19"/>
        </w:rPr>
        <w:t>,</w:t>
      </w:r>
      <w:r>
        <w:rPr>
          <w:rFonts w:ascii="Arial" w:hAnsi="Arial" w:cs="Arial"/>
          <w:sz w:val="19"/>
          <w:szCs w:val="19"/>
        </w:rPr>
        <w:t>‖</w:t>
      </w:r>
      <w:proofErr w:type="gramEnd"/>
      <w:r>
        <w:rPr>
          <w:sz w:val="19"/>
          <w:szCs w:val="19"/>
        </w:rPr>
        <w:t>Basic</w:t>
      </w:r>
      <w:proofErr w:type="spellEnd"/>
      <w:r>
        <w:rPr>
          <w:sz w:val="19"/>
          <w:szCs w:val="19"/>
        </w:rPr>
        <w:t xml:space="preserve"> Knowledge and Perspectives of </w:t>
      </w:r>
      <w:proofErr w:type="spellStart"/>
      <w:r>
        <w:rPr>
          <w:sz w:val="19"/>
          <w:szCs w:val="19"/>
        </w:rPr>
        <w:t>Bioelimination</w:t>
      </w:r>
      <w:proofErr w:type="spellEnd"/>
      <w:r>
        <w:rPr>
          <w:sz w:val="19"/>
          <w:szCs w:val="19"/>
        </w:rPr>
        <w:t xml:space="preserve"> of </w:t>
      </w:r>
      <w:proofErr w:type="spellStart"/>
      <w:r>
        <w:rPr>
          <w:sz w:val="19"/>
          <w:szCs w:val="19"/>
        </w:rPr>
        <w:t>Xenobiotic</w:t>
      </w:r>
      <w:proofErr w:type="spellEnd"/>
      <w:r>
        <w:rPr>
          <w:sz w:val="19"/>
          <w:szCs w:val="19"/>
        </w:rPr>
        <w:t xml:space="preserve"> Compounds</w:t>
      </w:r>
      <w:r>
        <w:rPr>
          <w:rFonts w:ascii="Arial" w:hAnsi="Arial" w:cs="Arial"/>
          <w:sz w:val="19"/>
          <w:szCs w:val="19"/>
        </w:rPr>
        <w:t>‖</w:t>
      </w:r>
      <w:r>
        <w:rPr>
          <w:sz w:val="19"/>
          <w:szCs w:val="19"/>
        </w:rPr>
        <w:t xml:space="preserve">, Journal of biotechnology, 51, 287-295, 1996. </w:t>
      </w:r>
    </w:p>
    <w:p w:rsidR="004E4D08" w:rsidRDefault="004E4D08" w:rsidP="004E4D08">
      <w:pPr>
        <w:pStyle w:val="Default"/>
        <w:rPr>
          <w:sz w:val="19"/>
          <w:szCs w:val="19"/>
        </w:rPr>
      </w:pPr>
    </w:p>
    <w:p w:rsidR="004E4D08" w:rsidRDefault="004E4D08" w:rsidP="004E4D08">
      <w:pPr>
        <w:pStyle w:val="Default"/>
        <w:rPr>
          <w:sz w:val="19"/>
          <w:szCs w:val="19"/>
        </w:rPr>
      </w:pPr>
      <w:r>
        <w:rPr>
          <w:sz w:val="19"/>
          <w:szCs w:val="19"/>
        </w:rPr>
        <w:t xml:space="preserve">[2]. C.I. Pearce, J.R. Lloyd &amp; J.T. Guthrie, </w:t>
      </w:r>
      <w:r>
        <w:rPr>
          <w:rFonts w:ascii="Arial" w:hAnsi="Arial" w:cs="Arial"/>
          <w:sz w:val="19"/>
          <w:szCs w:val="19"/>
        </w:rPr>
        <w:t>―</w:t>
      </w:r>
      <w:r>
        <w:rPr>
          <w:sz w:val="19"/>
          <w:szCs w:val="19"/>
        </w:rPr>
        <w:t xml:space="preserve">The Removal of Color from Textile Waste Water Using Whole Bacterial </w:t>
      </w:r>
      <w:proofErr w:type="gramStart"/>
      <w:r>
        <w:rPr>
          <w:sz w:val="19"/>
          <w:szCs w:val="19"/>
        </w:rPr>
        <w:t>Cells :</w:t>
      </w:r>
      <w:proofErr w:type="gramEnd"/>
      <w:r>
        <w:rPr>
          <w:sz w:val="19"/>
          <w:szCs w:val="19"/>
        </w:rPr>
        <w:t xml:space="preserve"> A Review</w:t>
      </w:r>
      <w:r>
        <w:rPr>
          <w:rFonts w:ascii="Arial" w:hAnsi="Arial" w:cs="Arial"/>
          <w:sz w:val="19"/>
          <w:szCs w:val="19"/>
        </w:rPr>
        <w:t>‖</w:t>
      </w:r>
      <w:r>
        <w:rPr>
          <w:sz w:val="19"/>
          <w:szCs w:val="19"/>
        </w:rPr>
        <w:t xml:space="preserve">, Dyes and pigments, 58, 179-196, 2003. </w:t>
      </w:r>
    </w:p>
    <w:p w:rsidR="004E4D08" w:rsidRDefault="004E4D08" w:rsidP="004E4D08">
      <w:pPr>
        <w:pStyle w:val="Default"/>
        <w:rPr>
          <w:sz w:val="19"/>
          <w:szCs w:val="19"/>
        </w:rPr>
      </w:pPr>
    </w:p>
    <w:p w:rsidR="004E4D08" w:rsidRDefault="004E4D08" w:rsidP="004E4D08">
      <w:pPr>
        <w:pStyle w:val="Default"/>
        <w:rPr>
          <w:sz w:val="19"/>
          <w:szCs w:val="19"/>
        </w:rPr>
      </w:pPr>
      <w:r>
        <w:rPr>
          <w:sz w:val="19"/>
          <w:szCs w:val="19"/>
        </w:rPr>
        <w:t xml:space="preserve">[3]. I.M. Banat, P. Nigam, D. Singh &amp; R. </w:t>
      </w:r>
      <w:proofErr w:type="spellStart"/>
      <w:r>
        <w:rPr>
          <w:sz w:val="19"/>
          <w:szCs w:val="19"/>
        </w:rPr>
        <w:t>Marchant</w:t>
      </w:r>
      <w:proofErr w:type="spellEnd"/>
      <w:r>
        <w:rPr>
          <w:sz w:val="19"/>
          <w:szCs w:val="19"/>
        </w:rPr>
        <w:t>,</w:t>
      </w:r>
      <w:r>
        <w:rPr>
          <w:rFonts w:ascii="Arial" w:hAnsi="Arial" w:cs="Arial"/>
          <w:sz w:val="19"/>
          <w:szCs w:val="19"/>
        </w:rPr>
        <w:t>‖</w:t>
      </w:r>
      <w:r>
        <w:rPr>
          <w:sz w:val="19"/>
          <w:szCs w:val="19"/>
        </w:rPr>
        <w:t xml:space="preserve"> Microbial </w:t>
      </w:r>
      <w:proofErr w:type="spellStart"/>
      <w:r>
        <w:rPr>
          <w:sz w:val="19"/>
          <w:szCs w:val="19"/>
        </w:rPr>
        <w:t>Decolorization</w:t>
      </w:r>
      <w:proofErr w:type="spellEnd"/>
      <w:r>
        <w:rPr>
          <w:sz w:val="19"/>
          <w:szCs w:val="19"/>
        </w:rPr>
        <w:t xml:space="preserve"> of Textile Dye- Containing Effluents: A Review</w:t>
      </w:r>
      <w:r>
        <w:rPr>
          <w:rFonts w:ascii="Arial" w:hAnsi="Arial" w:cs="Arial"/>
          <w:sz w:val="19"/>
          <w:szCs w:val="19"/>
        </w:rPr>
        <w:t>‖</w:t>
      </w:r>
      <w:r>
        <w:rPr>
          <w:sz w:val="19"/>
          <w:szCs w:val="19"/>
        </w:rPr>
        <w:t xml:space="preserve">, </w:t>
      </w:r>
      <w:proofErr w:type="spellStart"/>
      <w:r>
        <w:rPr>
          <w:sz w:val="19"/>
          <w:szCs w:val="19"/>
        </w:rPr>
        <w:t>Bioresour</w:t>
      </w:r>
      <w:proofErr w:type="spellEnd"/>
      <w:r>
        <w:rPr>
          <w:sz w:val="19"/>
          <w:szCs w:val="19"/>
        </w:rPr>
        <w:t xml:space="preserve"> </w:t>
      </w:r>
      <w:proofErr w:type="spellStart"/>
      <w:r>
        <w:rPr>
          <w:sz w:val="19"/>
          <w:szCs w:val="19"/>
        </w:rPr>
        <w:t>Technol</w:t>
      </w:r>
      <w:proofErr w:type="spellEnd"/>
      <w:r>
        <w:rPr>
          <w:sz w:val="19"/>
          <w:szCs w:val="19"/>
        </w:rPr>
        <w:t xml:space="preserve">, 58, 217-227, 1996. </w:t>
      </w:r>
    </w:p>
    <w:p w:rsidR="004E4D08" w:rsidRDefault="004E4D08" w:rsidP="004E4D08">
      <w:pPr>
        <w:pStyle w:val="Default"/>
        <w:rPr>
          <w:sz w:val="19"/>
          <w:szCs w:val="19"/>
        </w:rPr>
      </w:pPr>
    </w:p>
    <w:p w:rsidR="004E4D08" w:rsidRDefault="004E4D08" w:rsidP="004E4D08">
      <w:pPr>
        <w:pStyle w:val="Default"/>
        <w:rPr>
          <w:sz w:val="19"/>
          <w:szCs w:val="19"/>
        </w:rPr>
      </w:pPr>
      <w:r>
        <w:rPr>
          <w:sz w:val="19"/>
          <w:szCs w:val="19"/>
        </w:rPr>
        <w:t xml:space="preserve">[4]. T. Robinson, G. McMullan, R. </w:t>
      </w:r>
      <w:proofErr w:type="spellStart"/>
      <w:r>
        <w:rPr>
          <w:sz w:val="19"/>
          <w:szCs w:val="19"/>
        </w:rPr>
        <w:t>Marchant</w:t>
      </w:r>
      <w:proofErr w:type="spellEnd"/>
      <w:r>
        <w:rPr>
          <w:sz w:val="19"/>
          <w:szCs w:val="19"/>
        </w:rPr>
        <w:t xml:space="preserve"> &amp; P. </w:t>
      </w:r>
      <w:proofErr w:type="gramStart"/>
      <w:r>
        <w:rPr>
          <w:sz w:val="19"/>
          <w:szCs w:val="19"/>
        </w:rPr>
        <w:t>Nigam ,</w:t>
      </w:r>
      <w:proofErr w:type="gramEnd"/>
      <w:r>
        <w:rPr>
          <w:sz w:val="19"/>
          <w:szCs w:val="19"/>
        </w:rPr>
        <w:t xml:space="preserve"> </w:t>
      </w:r>
      <w:r>
        <w:rPr>
          <w:rFonts w:ascii="Arial" w:hAnsi="Arial" w:cs="Arial"/>
          <w:sz w:val="19"/>
          <w:szCs w:val="19"/>
        </w:rPr>
        <w:t>‖</w:t>
      </w:r>
      <w:r>
        <w:rPr>
          <w:sz w:val="19"/>
          <w:szCs w:val="19"/>
        </w:rPr>
        <w:t>Remediation of Dyes in Textile Effluent: A Critical Review on Current Treatment Technologies with a Proposed Alternative</w:t>
      </w:r>
      <w:r>
        <w:rPr>
          <w:rFonts w:ascii="Arial" w:hAnsi="Arial" w:cs="Arial"/>
          <w:sz w:val="19"/>
          <w:szCs w:val="19"/>
        </w:rPr>
        <w:t>‖</w:t>
      </w:r>
      <w:r>
        <w:rPr>
          <w:sz w:val="19"/>
          <w:szCs w:val="19"/>
        </w:rPr>
        <w:t xml:space="preserve">, </w:t>
      </w:r>
      <w:proofErr w:type="spellStart"/>
      <w:r>
        <w:rPr>
          <w:sz w:val="19"/>
          <w:szCs w:val="19"/>
        </w:rPr>
        <w:t>Bioresour</w:t>
      </w:r>
      <w:proofErr w:type="spellEnd"/>
      <w:r>
        <w:rPr>
          <w:sz w:val="19"/>
          <w:szCs w:val="19"/>
        </w:rPr>
        <w:t xml:space="preserve">. </w:t>
      </w:r>
      <w:proofErr w:type="gramStart"/>
      <w:r>
        <w:rPr>
          <w:sz w:val="19"/>
          <w:szCs w:val="19"/>
        </w:rPr>
        <w:t>Technol. 77</w:t>
      </w:r>
      <w:r>
        <w:rPr>
          <w:b/>
          <w:bCs/>
          <w:sz w:val="19"/>
          <w:szCs w:val="19"/>
        </w:rPr>
        <w:t xml:space="preserve">, </w:t>
      </w:r>
      <w:r>
        <w:rPr>
          <w:sz w:val="19"/>
          <w:szCs w:val="19"/>
        </w:rPr>
        <w:t>247-255, 2001.</w:t>
      </w:r>
      <w:proofErr w:type="gramEnd"/>
      <w:r>
        <w:rPr>
          <w:sz w:val="19"/>
          <w:szCs w:val="19"/>
        </w:rPr>
        <w:t xml:space="preserve"> </w:t>
      </w:r>
    </w:p>
    <w:p w:rsidR="004E4D08" w:rsidRDefault="004E4D08" w:rsidP="004E4D08">
      <w:pPr>
        <w:pStyle w:val="Default"/>
        <w:rPr>
          <w:sz w:val="19"/>
          <w:szCs w:val="19"/>
        </w:rPr>
      </w:pPr>
    </w:p>
    <w:p w:rsidR="004E4D08" w:rsidRDefault="004E4D08" w:rsidP="004E4D08">
      <w:pPr>
        <w:pStyle w:val="Default"/>
        <w:rPr>
          <w:sz w:val="19"/>
          <w:szCs w:val="19"/>
        </w:rPr>
      </w:pPr>
      <w:r>
        <w:rPr>
          <w:sz w:val="19"/>
          <w:szCs w:val="19"/>
        </w:rPr>
        <w:t xml:space="preserve">[5]. A. </w:t>
      </w:r>
      <w:proofErr w:type="spellStart"/>
      <w:r>
        <w:rPr>
          <w:sz w:val="19"/>
          <w:szCs w:val="19"/>
        </w:rPr>
        <w:t>Stolz</w:t>
      </w:r>
      <w:proofErr w:type="spellEnd"/>
      <w:r>
        <w:rPr>
          <w:sz w:val="19"/>
          <w:szCs w:val="19"/>
        </w:rPr>
        <w:t xml:space="preserve">, </w:t>
      </w:r>
      <w:r>
        <w:rPr>
          <w:rFonts w:ascii="Arial" w:hAnsi="Arial" w:cs="Arial"/>
          <w:sz w:val="19"/>
          <w:szCs w:val="19"/>
        </w:rPr>
        <w:t>―</w:t>
      </w:r>
      <w:r>
        <w:rPr>
          <w:sz w:val="19"/>
          <w:szCs w:val="19"/>
        </w:rPr>
        <w:t xml:space="preserve">Basic and Applied Aspects in the Microbial Degradation of </w:t>
      </w:r>
      <w:proofErr w:type="spellStart"/>
      <w:r>
        <w:rPr>
          <w:sz w:val="19"/>
          <w:szCs w:val="19"/>
        </w:rPr>
        <w:t>Azo</w:t>
      </w:r>
      <w:proofErr w:type="spellEnd"/>
      <w:r>
        <w:rPr>
          <w:sz w:val="19"/>
          <w:szCs w:val="19"/>
        </w:rPr>
        <w:t xml:space="preserve"> Dyes</w:t>
      </w:r>
      <w:r>
        <w:rPr>
          <w:rFonts w:ascii="Arial" w:hAnsi="Arial" w:cs="Arial"/>
          <w:sz w:val="19"/>
          <w:szCs w:val="19"/>
        </w:rPr>
        <w:t>‖</w:t>
      </w:r>
      <w:r>
        <w:rPr>
          <w:sz w:val="19"/>
          <w:szCs w:val="19"/>
        </w:rPr>
        <w:t xml:space="preserve">, Appl. </w:t>
      </w:r>
      <w:proofErr w:type="spellStart"/>
      <w:r>
        <w:rPr>
          <w:sz w:val="19"/>
          <w:szCs w:val="19"/>
        </w:rPr>
        <w:t>Microbiol</w:t>
      </w:r>
      <w:proofErr w:type="spellEnd"/>
      <w:r>
        <w:rPr>
          <w:sz w:val="19"/>
          <w:szCs w:val="19"/>
        </w:rPr>
        <w:t xml:space="preserve">. </w:t>
      </w:r>
      <w:proofErr w:type="spellStart"/>
      <w:proofErr w:type="gramStart"/>
      <w:r>
        <w:rPr>
          <w:sz w:val="19"/>
          <w:szCs w:val="19"/>
        </w:rPr>
        <w:t>Biotechnol</w:t>
      </w:r>
      <w:proofErr w:type="spellEnd"/>
      <w:r>
        <w:rPr>
          <w:sz w:val="19"/>
          <w:szCs w:val="19"/>
        </w:rPr>
        <w:t>, 56, 69-80, 2001.</w:t>
      </w:r>
      <w:proofErr w:type="gramEnd"/>
      <w:r>
        <w:rPr>
          <w:sz w:val="19"/>
          <w:szCs w:val="19"/>
        </w:rPr>
        <w:t xml:space="preserve"> </w:t>
      </w:r>
    </w:p>
    <w:p w:rsidR="004E4D08" w:rsidRDefault="004E4D08" w:rsidP="004E4D08">
      <w:pPr>
        <w:pStyle w:val="Default"/>
        <w:rPr>
          <w:sz w:val="19"/>
          <w:szCs w:val="19"/>
        </w:rPr>
      </w:pPr>
    </w:p>
    <w:p w:rsidR="004E4D08" w:rsidRDefault="004E4D08" w:rsidP="004E4D08">
      <w:pPr>
        <w:pStyle w:val="Default"/>
        <w:rPr>
          <w:sz w:val="19"/>
          <w:szCs w:val="19"/>
        </w:rPr>
      </w:pPr>
      <w:r>
        <w:rPr>
          <w:sz w:val="19"/>
          <w:szCs w:val="19"/>
        </w:rPr>
        <w:t xml:space="preserve">[6]. T. Zimmermann, F. Gasser, H.G. </w:t>
      </w:r>
      <w:proofErr w:type="spellStart"/>
      <w:r>
        <w:rPr>
          <w:sz w:val="19"/>
          <w:szCs w:val="19"/>
        </w:rPr>
        <w:t>Kulla</w:t>
      </w:r>
      <w:proofErr w:type="spellEnd"/>
      <w:r>
        <w:rPr>
          <w:sz w:val="19"/>
          <w:szCs w:val="19"/>
        </w:rPr>
        <w:t xml:space="preserve"> &amp; T. </w:t>
      </w:r>
      <w:proofErr w:type="spellStart"/>
      <w:r>
        <w:rPr>
          <w:sz w:val="19"/>
          <w:szCs w:val="19"/>
        </w:rPr>
        <w:t>Leisinger</w:t>
      </w:r>
      <w:proofErr w:type="spellEnd"/>
      <w:r>
        <w:rPr>
          <w:sz w:val="19"/>
          <w:szCs w:val="19"/>
        </w:rPr>
        <w:t xml:space="preserve">, </w:t>
      </w:r>
      <w:r>
        <w:rPr>
          <w:rFonts w:ascii="Arial" w:hAnsi="Arial" w:cs="Arial"/>
          <w:sz w:val="19"/>
          <w:szCs w:val="19"/>
        </w:rPr>
        <w:t>―</w:t>
      </w:r>
      <w:r>
        <w:rPr>
          <w:sz w:val="19"/>
          <w:szCs w:val="19"/>
        </w:rPr>
        <w:t xml:space="preserve">Comparison of Two Bacterial </w:t>
      </w:r>
      <w:proofErr w:type="spellStart"/>
      <w:r>
        <w:rPr>
          <w:sz w:val="19"/>
          <w:szCs w:val="19"/>
        </w:rPr>
        <w:t>Azo-Reductases</w:t>
      </w:r>
      <w:proofErr w:type="spellEnd"/>
      <w:r>
        <w:rPr>
          <w:sz w:val="19"/>
          <w:szCs w:val="19"/>
        </w:rPr>
        <w:t xml:space="preserve"> </w:t>
      </w:r>
      <w:proofErr w:type="spellStart"/>
      <w:r>
        <w:rPr>
          <w:sz w:val="19"/>
          <w:szCs w:val="19"/>
        </w:rPr>
        <w:t>Accquired</w:t>
      </w:r>
      <w:proofErr w:type="spellEnd"/>
      <w:r>
        <w:rPr>
          <w:sz w:val="19"/>
          <w:szCs w:val="19"/>
        </w:rPr>
        <w:t xml:space="preserve"> </w:t>
      </w:r>
      <w:proofErr w:type="gramStart"/>
      <w:r>
        <w:rPr>
          <w:sz w:val="19"/>
          <w:szCs w:val="19"/>
        </w:rPr>
        <w:t>During</w:t>
      </w:r>
      <w:proofErr w:type="gramEnd"/>
      <w:r>
        <w:rPr>
          <w:sz w:val="19"/>
          <w:szCs w:val="19"/>
        </w:rPr>
        <w:t xml:space="preserve"> Adaptation to Growth on </w:t>
      </w:r>
      <w:proofErr w:type="spellStart"/>
      <w:r>
        <w:rPr>
          <w:sz w:val="19"/>
          <w:szCs w:val="19"/>
        </w:rPr>
        <w:t>Azo</w:t>
      </w:r>
      <w:proofErr w:type="spellEnd"/>
      <w:r>
        <w:rPr>
          <w:sz w:val="19"/>
          <w:szCs w:val="19"/>
        </w:rPr>
        <w:t xml:space="preserve"> Dyes</w:t>
      </w:r>
      <w:r>
        <w:rPr>
          <w:rFonts w:ascii="Arial" w:hAnsi="Arial" w:cs="Arial"/>
          <w:sz w:val="19"/>
          <w:szCs w:val="19"/>
        </w:rPr>
        <w:t>‖</w:t>
      </w:r>
      <w:r>
        <w:rPr>
          <w:sz w:val="19"/>
          <w:szCs w:val="19"/>
        </w:rPr>
        <w:t xml:space="preserve">, Arch </w:t>
      </w:r>
      <w:proofErr w:type="spellStart"/>
      <w:r>
        <w:rPr>
          <w:sz w:val="19"/>
          <w:szCs w:val="19"/>
        </w:rPr>
        <w:t>Microbiol</w:t>
      </w:r>
      <w:proofErr w:type="spellEnd"/>
      <w:r>
        <w:rPr>
          <w:sz w:val="19"/>
          <w:szCs w:val="19"/>
        </w:rPr>
        <w:t xml:space="preserve">. </w:t>
      </w:r>
      <w:proofErr w:type="gramStart"/>
      <w:r>
        <w:rPr>
          <w:sz w:val="19"/>
          <w:szCs w:val="19"/>
        </w:rPr>
        <w:t>138, 37-43, 1984.</w:t>
      </w:r>
      <w:proofErr w:type="gramEnd"/>
      <w:r>
        <w:rPr>
          <w:sz w:val="19"/>
          <w:szCs w:val="19"/>
        </w:rPr>
        <w:t xml:space="preserve"> </w:t>
      </w:r>
    </w:p>
    <w:p w:rsidR="004E4D08" w:rsidRDefault="004E4D08" w:rsidP="004E4D08">
      <w:pPr>
        <w:pStyle w:val="Default"/>
        <w:rPr>
          <w:sz w:val="19"/>
          <w:szCs w:val="19"/>
        </w:rPr>
      </w:pPr>
    </w:p>
    <w:p w:rsidR="004E4D08" w:rsidRDefault="004E4D08" w:rsidP="004E4D08">
      <w:pPr>
        <w:pStyle w:val="Default"/>
        <w:rPr>
          <w:sz w:val="19"/>
          <w:szCs w:val="19"/>
        </w:rPr>
      </w:pPr>
      <w:r>
        <w:rPr>
          <w:sz w:val="19"/>
          <w:szCs w:val="19"/>
        </w:rPr>
        <w:t xml:space="preserve">[7]. M.A.M. Martins, M.H. Cardoso, M.J. </w:t>
      </w:r>
      <w:proofErr w:type="spellStart"/>
      <w:r>
        <w:rPr>
          <w:sz w:val="19"/>
          <w:szCs w:val="19"/>
        </w:rPr>
        <w:t>Queiroz</w:t>
      </w:r>
      <w:proofErr w:type="spellEnd"/>
      <w:r>
        <w:rPr>
          <w:sz w:val="19"/>
          <w:szCs w:val="19"/>
        </w:rPr>
        <w:t xml:space="preserve"> &amp; M.T. </w:t>
      </w:r>
      <w:proofErr w:type="spellStart"/>
      <w:r>
        <w:rPr>
          <w:sz w:val="19"/>
          <w:szCs w:val="19"/>
        </w:rPr>
        <w:t>Ramalho</w:t>
      </w:r>
      <w:proofErr w:type="spellEnd"/>
      <w:r>
        <w:rPr>
          <w:sz w:val="19"/>
          <w:szCs w:val="19"/>
        </w:rPr>
        <w:t xml:space="preserve">, </w:t>
      </w:r>
      <w:r>
        <w:rPr>
          <w:rFonts w:ascii="Arial" w:hAnsi="Arial" w:cs="Arial"/>
          <w:sz w:val="19"/>
          <w:szCs w:val="19"/>
        </w:rPr>
        <w:t>―</w:t>
      </w:r>
      <w:r>
        <w:rPr>
          <w:sz w:val="19"/>
          <w:szCs w:val="19"/>
        </w:rPr>
        <w:t xml:space="preserve">Biodegradation of </w:t>
      </w:r>
      <w:proofErr w:type="spellStart"/>
      <w:r>
        <w:rPr>
          <w:sz w:val="19"/>
          <w:szCs w:val="19"/>
        </w:rPr>
        <w:t>Azo</w:t>
      </w:r>
      <w:proofErr w:type="spellEnd"/>
      <w:r>
        <w:rPr>
          <w:sz w:val="19"/>
          <w:szCs w:val="19"/>
        </w:rPr>
        <w:t xml:space="preserve"> Dyes by the Yeast Candida </w:t>
      </w:r>
      <w:proofErr w:type="spellStart"/>
      <w:r>
        <w:rPr>
          <w:sz w:val="19"/>
          <w:szCs w:val="19"/>
        </w:rPr>
        <w:t>zeylanoides</w:t>
      </w:r>
      <w:proofErr w:type="spellEnd"/>
      <w:r>
        <w:rPr>
          <w:sz w:val="19"/>
          <w:szCs w:val="19"/>
        </w:rPr>
        <w:t xml:space="preserve"> in Batch Aerated Cultures, Chemosphere</w:t>
      </w:r>
      <w:r>
        <w:rPr>
          <w:rFonts w:ascii="Arial" w:hAnsi="Arial" w:cs="Arial"/>
          <w:sz w:val="19"/>
          <w:szCs w:val="19"/>
        </w:rPr>
        <w:t>‖</w:t>
      </w:r>
      <w:r>
        <w:rPr>
          <w:sz w:val="19"/>
          <w:szCs w:val="19"/>
        </w:rPr>
        <w:t xml:space="preserve">, 38, 2455–2460, 1999. </w:t>
      </w:r>
    </w:p>
    <w:p w:rsidR="004E4D08" w:rsidRDefault="004E4D08" w:rsidP="004E4D08">
      <w:pPr>
        <w:pStyle w:val="Default"/>
        <w:rPr>
          <w:sz w:val="19"/>
          <w:szCs w:val="19"/>
        </w:rPr>
      </w:pPr>
    </w:p>
    <w:p w:rsidR="004E4D08" w:rsidRDefault="004E4D08" w:rsidP="004E4D08">
      <w:pPr>
        <w:pStyle w:val="Default"/>
        <w:rPr>
          <w:sz w:val="19"/>
          <w:szCs w:val="19"/>
        </w:rPr>
      </w:pPr>
      <w:r>
        <w:rPr>
          <w:sz w:val="19"/>
          <w:szCs w:val="19"/>
        </w:rPr>
        <w:t xml:space="preserve">[8]. C. O’Neill, A. Lopez, S. </w:t>
      </w:r>
      <w:proofErr w:type="spellStart"/>
      <w:r>
        <w:rPr>
          <w:sz w:val="19"/>
          <w:szCs w:val="19"/>
        </w:rPr>
        <w:t>Esteves</w:t>
      </w:r>
      <w:proofErr w:type="spellEnd"/>
      <w:r>
        <w:rPr>
          <w:sz w:val="19"/>
          <w:szCs w:val="19"/>
        </w:rPr>
        <w:t xml:space="preserve">, F.R. </w:t>
      </w:r>
      <w:proofErr w:type="spellStart"/>
      <w:r>
        <w:rPr>
          <w:sz w:val="19"/>
          <w:szCs w:val="19"/>
        </w:rPr>
        <w:t>Hawkes</w:t>
      </w:r>
      <w:proofErr w:type="spellEnd"/>
      <w:r>
        <w:rPr>
          <w:sz w:val="19"/>
          <w:szCs w:val="19"/>
        </w:rPr>
        <w:t xml:space="preserve">, D.L. </w:t>
      </w:r>
      <w:proofErr w:type="spellStart"/>
      <w:r>
        <w:rPr>
          <w:sz w:val="19"/>
          <w:szCs w:val="19"/>
        </w:rPr>
        <w:t>Hawkes</w:t>
      </w:r>
      <w:proofErr w:type="spellEnd"/>
      <w:r>
        <w:rPr>
          <w:sz w:val="19"/>
          <w:szCs w:val="19"/>
        </w:rPr>
        <w:t xml:space="preserve"> &amp; S. Wilcox, </w:t>
      </w:r>
      <w:r>
        <w:rPr>
          <w:rFonts w:ascii="Arial" w:hAnsi="Arial" w:cs="Arial"/>
          <w:sz w:val="19"/>
          <w:szCs w:val="19"/>
        </w:rPr>
        <w:t>―</w:t>
      </w:r>
      <w:proofErr w:type="spellStart"/>
      <w:r>
        <w:rPr>
          <w:sz w:val="19"/>
          <w:szCs w:val="19"/>
        </w:rPr>
        <w:t>Azo</w:t>
      </w:r>
      <w:proofErr w:type="spellEnd"/>
      <w:r>
        <w:rPr>
          <w:sz w:val="19"/>
          <w:szCs w:val="19"/>
        </w:rPr>
        <w:t>-Dye Degradation in an Anaerobic Treatment System Operating on Simulated Textile Effluent</w:t>
      </w:r>
      <w:r>
        <w:rPr>
          <w:rFonts w:ascii="Arial" w:hAnsi="Arial" w:cs="Arial"/>
          <w:sz w:val="19"/>
          <w:szCs w:val="19"/>
        </w:rPr>
        <w:t>‖</w:t>
      </w:r>
      <w:r>
        <w:rPr>
          <w:sz w:val="19"/>
          <w:szCs w:val="19"/>
        </w:rPr>
        <w:t xml:space="preserve">, Appl. </w:t>
      </w:r>
      <w:proofErr w:type="spellStart"/>
      <w:r>
        <w:rPr>
          <w:sz w:val="19"/>
          <w:szCs w:val="19"/>
        </w:rPr>
        <w:t>Microbiol</w:t>
      </w:r>
      <w:proofErr w:type="spellEnd"/>
      <w:r>
        <w:rPr>
          <w:sz w:val="19"/>
          <w:szCs w:val="19"/>
        </w:rPr>
        <w:t xml:space="preserve">. </w:t>
      </w:r>
      <w:proofErr w:type="spellStart"/>
      <w:proofErr w:type="gramStart"/>
      <w:r>
        <w:rPr>
          <w:sz w:val="19"/>
          <w:szCs w:val="19"/>
        </w:rPr>
        <w:t>Biotechnol</w:t>
      </w:r>
      <w:proofErr w:type="spellEnd"/>
      <w:r>
        <w:rPr>
          <w:sz w:val="19"/>
          <w:szCs w:val="19"/>
        </w:rPr>
        <w:t>, 53, 249-254, 2000.</w:t>
      </w:r>
      <w:proofErr w:type="gramEnd"/>
      <w:r>
        <w:rPr>
          <w:sz w:val="19"/>
          <w:szCs w:val="19"/>
        </w:rPr>
        <w:t xml:space="preserve"> </w:t>
      </w:r>
    </w:p>
    <w:p w:rsidR="004E4D08" w:rsidRPr="00932EC9" w:rsidRDefault="004E4D08" w:rsidP="00932EC9">
      <w:pPr>
        <w:rPr>
          <w:sz w:val="19"/>
          <w:szCs w:val="19"/>
        </w:rPr>
      </w:pPr>
    </w:p>
    <w:sectPr w:rsidR="004E4D08" w:rsidRPr="00932EC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6E79" w:rsidRDefault="00C76E79" w:rsidP="00932EC9">
      <w:pPr>
        <w:spacing w:after="0" w:line="240" w:lineRule="auto"/>
      </w:pPr>
      <w:r>
        <w:separator/>
      </w:r>
    </w:p>
  </w:endnote>
  <w:endnote w:type="continuationSeparator" w:id="1">
    <w:p w:rsidR="00C76E79" w:rsidRDefault="00C76E79" w:rsidP="00932E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Helvetica">
    <w:altName w:val="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6E79" w:rsidRDefault="00C76E79" w:rsidP="00932EC9">
      <w:pPr>
        <w:spacing w:after="0" w:line="240" w:lineRule="auto"/>
      </w:pPr>
      <w:r>
        <w:separator/>
      </w:r>
    </w:p>
  </w:footnote>
  <w:footnote w:type="continuationSeparator" w:id="1">
    <w:p w:rsidR="00C76E79" w:rsidRDefault="00C76E79" w:rsidP="00932E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79" w:rsidRDefault="00C76E79" w:rsidP="00932EC9">
    <w:pPr>
      <w:pStyle w:val="Default"/>
    </w:pPr>
  </w:p>
  <w:p w:rsidR="00C76E79" w:rsidRPr="00932EC9" w:rsidRDefault="00C76E79" w:rsidP="00932EC9">
    <w:pPr>
      <w:pStyle w:val="Header"/>
      <w:jc w:val="center"/>
      <w:rPr>
        <w:u w:val="single"/>
      </w:rPr>
    </w:pPr>
    <w:r w:rsidRPr="00932EC9">
      <w:rPr>
        <w:sz w:val="48"/>
        <w:szCs w:val="48"/>
        <w:u w:val="single"/>
      </w:rPr>
      <w:t xml:space="preserve">Studies On Immobilized Yeast For </w:t>
    </w:r>
    <w:proofErr w:type="spellStart"/>
    <w:r w:rsidRPr="00932EC9">
      <w:rPr>
        <w:sz w:val="48"/>
        <w:szCs w:val="48"/>
        <w:u w:val="single"/>
      </w:rPr>
      <w:t>Decolorization</w:t>
    </w:r>
    <w:proofErr w:type="spellEnd"/>
    <w:r w:rsidRPr="00932EC9">
      <w:rPr>
        <w:sz w:val="48"/>
        <w:szCs w:val="48"/>
        <w:u w:val="single"/>
      </w:rPr>
      <w:t xml:space="preserve"> Of </w:t>
    </w:r>
    <w:proofErr w:type="spellStart"/>
    <w:r w:rsidRPr="00932EC9">
      <w:rPr>
        <w:sz w:val="48"/>
        <w:szCs w:val="48"/>
        <w:u w:val="single"/>
      </w:rPr>
      <w:t>Azo</w:t>
    </w:r>
    <w:proofErr w:type="spellEnd"/>
    <w:r w:rsidRPr="00932EC9">
      <w:rPr>
        <w:sz w:val="48"/>
        <w:szCs w:val="48"/>
        <w:u w:val="single"/>
      </w:rPr>
      <w:t xml:space="preserve"> Dyes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savePreviewPicture/>
  <w:footnotePr>
    <w:footnote w:id="0"/>
    <w:footnote w:id="1"/>
  </w:footnotePr>
  <w:endnotePr>
    <w:endnote w:id="0"/>
    <w:endnote w:id="1"/>
  </w:endnotePr>
  <w:compat>
    <w:useFELayout/>
  </w:compat>
  <w:rsids>
    <w:rsidRoot w:val="00932EC9"/>
    <w:rsid w:val="003426D1"/>
    <w:rsid w:val="004E4D08"/>
    <w:rsid w:val="00932EC9"/>
    <w:rsid w:val="00C76E79"/>
    <w:rsid w:val="00FF0C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32EC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32EC9"/>
  </w:style>
  <w:style w:type="paragraph" w:styleId="Footer">
    <w:name w:val="footer"/>
    <w:basedOn w:val="Normal"/>
    <w:link w:val="FooterChar"/>
    <w:uiPriority w:val="99"/>
    <w:semiHidden/>
    <w:unhideWhenUsed/>
    <w:rsid w:val="00932E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2EC9"/>
  </w:style>
  <w:style w:type="paragraph" w:customStyle="1" w:styleId="Default">
    <w:name w:val="Default"/>
    <w:rsid w:val="00932EC9"/>
    <w:pPr>
      <w:autoSpaceDE w:val="0"/>
      <w:autoSpaceDN w:val="0"/>
      <w:adjustRightInd w:val="0"/>
      <w:spacing w:after="0" w:line="240" w:lineRule="auto"/>
    </w:pPr>
    <w:rPr>
      <w:rFonts w:ascii="Helvetica" w:hAnsi="Helvetica" w:cs="Helvetica"/>
      <w:color w:val="000000"/>
      <w:sz w:val="24"/>
      <w:szCs w:val="24"/>
    </w:rPr>
  </w:style>
  <w:style w:type="table" w:styleId="TableGrid">
    <w:name w:val="Table Grid"/>
    <w:basedOn w:val="TableNormal"/>
    <w:uiPriority w:val="59"/>
    <w:rsid w:val="00C76E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76E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6E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1177</Words>
  <Characters>6711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qc.lab2</dc:creator>
  <cp:lastModifiedBy>qc.lab2</cp:lastModifiedBy>
  <cp:revision>4</cp:revision>
  <dcterms:created xsi:type="dcterms:W3CDTF">2017-08-04T06:10:00Z</dcterms:created>
  <dcterms:modified xsi:type="dcterms:W3CDTF">2017-08-04T06:11:00Z</dcterms:modified>
</cp:coreProperties>
</file>