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3B1B" w:rsidRPr="009E3B1B" w:rsidRDefault="009E3B1B" w:rsidP="009E3B1B">
      <w:pPr>
        <w:rPr>
          <w:rFonts w:ascii="Minion Pro" w:hAnsi="Minion Pro"/>
          <w:b/>
          <w:color w:val="0070C0"/>
          <w:sz w:val="36"/>
          <w:szCs w:val="36"/>
          <w:lang w:eastAsia="zh-CN"/>
        </w:rPr>
      </w:pPr>
      <w:r w:rsidRPr="009E3B1B">
        <w:rPr>
          <w:rFonts w:ascii="Minion Pro" w:hAnsi="Minion Pro"/>
          <w:b/>
          <w:color w:val="0070C0"/>
          <w:sz w:val="36"/>
          <w:szCs w:val="36"/>
          <w:lang w:eastAsia="zh-CN"/>
        </w:rPr>
        <w:t xml:space="preserve">The Unexpected Discovery of Orally Efficacious </w:t>
      </w:r>
      <w:r w:rsidRPr="009E3B1B">
        <w:rPr>
          <w:rFonts w:ascii="Minion Pro" w:hAnsi="Minion Pro" w:cs="Calibri"/>
          <w:b/>
          <w:color w:val="0070C0"/>
          <w:sz w:val="36"/>
          <w:szCs w:val="36"/>
          <w:lang w:eastAsia="zh-CN"/>
        </w:rPr>
        <w:t>β</w:t>
      </w:r>
      <w:r w:rsidRPr="009E3B1B">
        <w:rPr>
          <w:rFonts w:ascii="Minion Pro" w:hAnsi="Minion Pro"/>
          <w:b/>
          <w:color w:val="0070C0"/>
          <w:sz w:val="36"/>
          <w:szCs w:val="36"/>
          <w:lang w:eastAsia="zh-CN"/>
        </w:rPr>
        <w:t>-carboline Antimalarials</w:t>
      </w:r>
    </w:p>
    <w:p w:rsidR="00930F34" w:rsidRPr="00930F34" w:rsidRDefault="00930F34" w:rsidP="00930F34">
      <w:pPr>
        <w:jc w:val="both"/>
        <w:rPr>
          <w:rFonts w:ascii="Arial" w:hAnsi="Arial" w:cs="Arial"/>
        </w:rPr>
      </w:pPr>
      <w:r w:rsidRPr="00930F34">
        <w:rPr>
          <w:rFonts w:ascii="Arial" w:hAnsi="Arial" w:cs="Arial"/>
        </w:rPr>
        <w:t>Jopaul Mathew</w:t>
      </w:r>
      <w:r w:rsidRPr="00930F34">
        <w:rPr>
          <w:rFonts w:ascii="Arial" w:hAnsi="Arial" w:cs="Arial"/>
          <w:vertAlign w:val="superscript"/>
        </w:rPr>
        <w:t>1</w:t>
      </w:r>
      <w:r w:rsidRPr="00930F34">
        <w:rPr>
          <w:rFonts w:ascii="Arial" w:hAnsi="Arial" w:cs="Arial"/>
        </w:rPr>
        <w:t>,</w:t>
      </w:r>
      <w:r w:rsidRPr="00930F34">
        <w:rPr>
          <w:rFonts w:ascii="Arial" w:hAnsi="Arial" w:cs="Arial"/>
          <w:lang w:val="cs-CZ"/>
        </w:rPr>
        <w:t xml:space="preserve"> </w:t>
      </w:r>
      <w:r w:rsidRPr="00930F34">
        <w:rPr>
          <w:rFonts w:ascii="Arial" w:hAnsi="Arial" w:cs="Arial"/>
        </w:rPr>
        <w:t>Sha Ding</w:t>
      </w:r>
      <w:r w:rsidRPr="00930F34">
        <w:rPr>
          <w:rFonts w:ascii="Arial" w:hAnsi="Arial" w:cs="Arial"/>
          <w:vertAlign w:val="superscript"/>
        </w:rPr>
        <w:t>1</w:t>
      </w:r>
      <w:r w:rsidRPr="00930F34">
        <w:rPr>
          <w:rFonts w:ascii="Arial" w:hAnsi="Arial" w:cs="Arial"/>
        </w:rPr>
        <w:t>, Kevin Künz</w:t>
      </w:r>
      <w:r w:rsidRPr="00930F34">
        <w:rPr>
          <w:rFonts w:ascii="Arial" w:hAnsi="Arial" w:cs="Arial"/>
          <w:vertAlign w:val="superscript"/>
        </w:rPr>
        <w:t>1</w:t>
      </w:r>
      <w:r w:rsidRPr="00930F34">
        <w:rPr>
          <w:rFonts w:ascii="Arial" w:hAnsi="Arial" w:cs="Arial"/>
        </w:rPr>
        <w:t>, Joshua H. Butler</w:t>
      </w:r>
      <w:r w:rsidRPr="00930F34">
        <w:rPr>
          <w:rFonts w:ascii="Arial" w:hAnsi="Arial" w:cs="Arial"/>
          <w:vertAlign w:val="superscript"/>
        </w:rPr>
        <w:t>2</w:t>
      </w:r>
      <w:r w:rsidRPr="00930F34">
        <w:rPr>
          <w:rFonts w:ascii="Arial" w:hAnsi="Arial" w:cs="Arial"/>
        </w:rPr>
        <w:t>,</w:t>
      </w:r>
      <w:r w:rsidRPr="00930F34">
        <w:rPr>
          <w:rFonts w:ascii="Arial" w:hAnsi="Arial" w:cs="Arial"/>
          <w:lang w:val="cs-CZ"/>
        </w:rPr>
        <w:t xml:space="preserve"> </w:t>
      </w:r>
      <w:r w:rsidRPr="00930F34">
        <w:rPr>
          <w:rFonts w:ascii="Arial" w:hAnsi="Arial" w:cs="Arial"/>
        </w:rPr>
        <w:t>Emilio F. Merino</w:t>
      </w:r>
      <w:r w:rsidRPr="00930F34">
        <w:rPr>
          <w:rFonts w:ascii="Arial" w:hAnsi="Arial" w:cs="Arial"/>
          <w:vertAlign w:val="superscript"/>
        </w:rPr>
        <w:t>2</w:t>
      </w:r>
      <w:r w:rsidRPr="00930F34">
        <w:rPr>
          <w:rFonts w:ascii="Arial" w:hAnsi="Arial" w:cs="Arial"/>
        </w:rPr>
        <w:t>, Zaira Rizopoulos</w:t>
      </w:r>
      <w:r w:rsidRPr="00930F34">
        <w:rPr>
          <w:rFonts w:ascii="Arial" w:hAnsi="Arial" w:cs="Arial"/>
          <w:vertAlign w:val="superscript"/>
        </w:rPr>
        <w:t>4</w:t>
      </w:r>
      <w:r w:rsidRPr="00930F34">
        <w:rPr>
          <w:rFonts w:ascii="Arial" w:hAnsi="Arial" w:cs="Arial"/>
        </w:rPr>
        <w:t>, Maxim M. Totrov</w:t>
      </w:r>
      <w:r w:rsidRPr="00930F34">
        <w:rPr>
          <w:rFonts w:ascii="Arial" w:hAnsi="Arial" w:cs="Arial"/>
          <w:vertAlign w:val="superscript"/>
        </w:rPr>
        <w:t>3</w:t>
      </w:r>
      <w:r w:rsidRPr="00930F34">
        <w:rPr>
          <w:rFonts w:ascii="Arial" w:hAnsi="Arial" w:cs="Arial"/>
        </w:rPr>
        <w:t>, Maria B. Cassera</w:t>
      </w:r>
      <w:r w:rsidRPr="00930F34">
        <w:rPr>
          <w:rFonts w:ascii="Arial" w:hAnsi="Arial" w:cs="Arial"/>
          <w:vertAlign w:val="superscript"/>
        </w:rPr>
        <w:t>2</w:t>
      </w:r>
      <w:r w:rsidRPr="00930F34">
        <w:rPr>
          <w:rFonts w:ascii="Arial" w:hAnsi="Arial" w:cs="Arial"/>
        </w:rPr>
        <w:t xml:space="preserve"> and P</w:t>
      </w:r>
      <w:r w:rsidRPr="00930F34">
        <w:rPr>
          <w:rFonts w:ascii="Arial" w:hAnsi="Arial" w:cs="Arial"/>
          <w:lang w:val="cs-CZ"/>
        </w:rPr>
        <w:t xml:space="preserve">aul R. </w:t>
      </w:r>
      <w:r w:rsidRPr="00930F34">
        <w:rPr>
          <w:rFonts w:ascii="Arial" w:hAnsi="Arial" w:cs="Arial"/>
        </w:rPr>
        <w:t>Carlier</w:t>
      </w:r>
      <w:r w:rsidRPr="00930F34">
        <w:rPr>
          <w:rFonts w:ascii="Arial" w:hAnsi="Arial" w:cs="Arial"/>
          <w:vertAlign w:val="superscript"/>
        </w:rPr>
        <w:t>1</w:t>
      </w:r>
      <w:r w:rsidRPr="00930F34">
        <w:rPr>
          <w:rFonts w:ascii="Arial" w:hAnsi="Arial" w:cs="Arial"/>
          <w:lang w:val="cs-CZ"/>
        </w:rPr>
        <w:t>*</w:t>
      </w:r>
    </w:p>
    <w:p w:rsidR="00930F34" w:rsidRPr="00930F34" w:rsidRDefault="00930F34" w:rsidP="00930F34">
      <w:pPr>
        <w:jc w:val="both"/>
        <w:rPr>
          <w:rFonts w:ascii="Arial" w:hAnsi="Arial" w:cs="Arial"/>
        </w:rPr>
      </w:pPr>
      <w:r w:rsidRPr="00930F34">
        <w:rPr>
          <w:rFonts w:ascii="Arial" w:hAnsi="Arial" w:cs="Arial"/>
          <w:vertAlign w:val="superscript"/>
        </w:rPr>
        <w:t>1</w:t>
      </w:r>
      <w:r w:rsidRPr="00930F34">
        <w:rPr>
          <w:rFonts w:ascii="Arial" w:hAnsi="Arial" w:cs="Arial"/>
        </w:rPr>
        <w:t>Department of Chemistry, Virginia Tech, Blacksburg, VA, 24061 (U.S.A)</w:t>
      </w:r>
    </w:p>
    <w:p w:rsidR="00930F34" w:rsidRPr="00930F34" w:rsidRDefault="00930F34" w:rsidP="00930F34">
      <w:pPr>
        <w:jc w:val="both"/>
        <w:rPr>
          <w:rFonts w:ascii="Arial" w:hAnsi="Arial" w:cs="Arial"/>
        </w:rPr>
      </w:pPr>
      <w:r w:rsidRPr="00930F34">
        <w:rPr>
          <w:rFonts w:ascii="Arial" w:hAnsi="Arial" w:cs="Arial"/>
          <w:vertAlign w:val="superscript"/>
        </w:rPr>
        <w:t>2</w:t>
      </w:r>
      <w:r w:rsidRPr="00930F34">
        <w:rPr>
          <w:rFonts w:ascii="Arial" w:hAnsi="Arial" w:cs="Arial"/>
        </w:rPr>
        <w:t xml:space="preserve">Department of Biochemistry and Molecular Biology and Center for Tropical and Emerging Global Diseases </w:t>
      </w:r>
    </w:p>
    <w:p w:rsidR="00930F34" w:rsidRPr="00930F34" w:rsidRDefault="00930F34" w:rsidP="00930F34">
      <w:pPr>
        <w:jc w:val="both"/>
        <w:rPr>
          <w:rFonts w:ascii="Arial" w:hAnsi="Arial" w:cs="Arial"/>
        </w:rPr>
      </w:pPr>
      <w:r w:rsidRPr="00930F34">
        <w:rPr>
          <w:rFonts w:ascii="Arial" w:hAnsi="Arial" w:cs="Arial"/>
        </w:rPr>
        <w:t>(CTEGD), University of Georgia, Athens, GA 30602</w:t>
      </w:r>
    </w:p>
    <w:p w:rsidR="00930F34" w:rsidRPr="00930F34" w:rsidRDefault="00930F34" w:rsidP="00930F34">
      <w:pPr>
        <w:jc w:val="both"/>
        <w:rPr>
          <w:rFonts w:ascii="Arial" w:hAnsi="Arial" w:cs="Arial"/>
        </w:rPr>
      </w:pPr>
      <w:r w:rsidRPr="00930F34">
        <w:rPr>
          <w:rFonts w:ascii="Arial" w:hAnsi="Arial" w:cs="Arial"/>
          <w:vertAlign w:val="superscript"/>
        </w:rPr>
        <w:t>3</w:t>
      </w:r>
      <w:r w:rsidRPr="00930F34">
        <w:rPr>
          <w:rFonts w:ascii="Arial" w:hAnsi="Arial" w:cs="Arial"/>
        </w:rPr>
        <w:t>Molsoft, San Diego, CA, 92121</w:t>
      </w:r>
    </w:p>
    <w:p w:rsidR="00930F34" w:rsidRPr="00930F34" w:rsidRDefault="00930F34" w:rsidP="00930F34">
      <w:pPr>
        <w:jc w:val="both"/>
        <w:rPr>
          <w:rFonts w:ascii="Arial" w:hAnsi="Arial" w:cs="Arial"/>
        </w:rPr>
      </w:pPr>
      <w:r w:rsidRPr="00930F34">
        <w:rPr>
          <w:rFonts w:ascii="Arial" w:hAnsi="Arial" w:cs="Arial"/>
          <w:vertAlign w:val="superscript"/>
        </w:rPr>
        <w:t>4</w:t>
      </w:r>
      <w:r w:rsidRPr="00930F34">
        <w:rPr>
          <w:rFonts w:ascii="Arial" w:hAnsi="Arial" w:cs="Arial"/>
        </w:rPr>
        <w:t>Medicines for Malaria Venture(MMV)</w:t>
      </w:r>
    </w:p>
    <w:p w:rsidR="00AE3E37" w:rsidRDefault="00AE3E37">
      <w:pPr>
        <w:rPr>
          <w:rFonts w:ascii="Arial"/>
          <w:sz w:val="21"/>
        </w:rPr>
      </w:pPr>
    </w:p>
    <w:p w:rsidR="00930F34" w:rsidRDefault="00930F34">
      <w:pPr>
        <w:rPr>
          <w:rFonts w:ascii="Arial"/>
          <w:sz w:val="21"/>
        </w:rPr>
        <w:sectPr w:rsidR="00930F34">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Pr="00930F34" w:rsidRDefault="00AE3FA1">
      <w:pPr>
        <w:pStyle w:val="BodyText"/>
        <w:spacing w:before="90" w:line="280" w:lineRule="auto"/>
        <w:ind w:left="100"/>
        <w:jc w:val="both"/>
      </w:pPr>
      <w:r>
        <w:rPr>
          <w:rFonts w:ascii="Arial"/>
          <w:b/>
          <w:noProof/>
          <w:sz w:val="16"/>
        </w:rPr>
        <w:object w:dxaOrig="1440" w:dyaOrig="1440" w14:anchorId="59C1E8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left:0;text-align:left;margin-left:277pt;margin-top:7.75pt;width:238.85pt;height:122.4pt;z-index:-251658240;mso-wrap-edited:f;mso-position-horizontal-relative:text;mso-position-vertical-relative:text" wrapcoords="3385 210 3224 3565 1451 5452 484 6711 484 8808 1370 10276 2418 10905 4836 13631 5319 13631 3143 15728 3224 16986 0 17196 0 20342 9269 20971 11203 20971 11767 20971 12090 20761 12009 20342 18376 18454 18376 17196 12090 16986 13540 13631 20875 13631 21519 11953 20472 10276 19343 6920 20149 3565 20310 419 19666 210 3869 210 3385 210">
            <v:imagedata r:id="rId9" o:title=""/>
            <w10:wrap type="square"/>
          </v:shape>
          <o:OLEObject Type="Embed" ProgID="ChemDraw.Document.6.0" ShapeID="_x0000_s1027" DrawAspect="Content" ObjectID="_1705265213" r:id="rId10"/>
        </w:object>
      </w:r>
      <w:r w:rsidR="00930F34" w:rsidRPr="00930F34">
        <w:rPr>
          <w:rFonts w:cs="Times New Roman"/>
        </w:rPr>
        <w:t xml:space="preserve">Malaria, caused by the parasite </w:t>
      </w:r>
      <w:r w:rsidR="00930F34" w:rsidRPr="00930F34">
        <w:rPr>
          <w:rFonts w:cs="Times New Roman"/>
          <w:i/>
        </w:rPr>
        <w:t>Plasmodium</w:t>
      </w:r>
      <w:r w:rsidR="00930F34" w:rsidRPr="00930F34">
        <w:rPr>
          <w:rFonts w:cs="Times New Roman"/>
        </w:rPr>
        <w:t>, remains one of the deadliest infectious diseases worldwide. T</w:t>
      </w:r>
      <w:r w:rsidR="00930F34" w:rsidRPr="00930F34">
        <w:rPr>
          <w:rFonts w:eastAsia="TimesNewRomanPSMT" w:cs="Times New Roman"/>
        </w:rPr>
        <w:t>he development of resistance to all current antimalarials mandates the discovery of new drug candidates. Our previous work</w:t>
      </w:r>
      <w:r w:rsidR="00930F34" w:rsidRPr="00930F34">
        <w:rPr>
          <w:rFonts w:cs="Times New Roman"/>
        </w:rPr>
        <w:t xml:space="preserve"> identified </w:t>
      </w:r>
      <w:r w:rsidR="00930F34" w:rsidRPr="00930F34">
        <w:rPr>
          <w:rFonts w:cs="Times New Roman"/>
          <w:b/>
          <w:bCs/>
        </w:rPr>
        <w:t>1</w:t>
      </w:r>
      <w:r w:rsidR="00930F34" w:rsidRPr="00930F34">
        <w:rPr>
          <w:rFonts w:cs="Times New Roman"/>
        </w:rPr>
        <w:t xml:space="preserve"> as inhibitor of the MEP pathway, which produces essential isoprenoid precursors (IPP and DMAPP) in the malaria parasite </w:t>
      </w:r>
      <w:r w:rsidR="00930F34" w:rsidRPr="00930F34">
        <w:rPr>
          <w:rFonts w:cs="Times New Roman"/>
          <w:i/>
          <w:iCs/>
        </w:rPr>
        <w:t>P. falciparum.</w:t>
      </w:r>
      <w:r w:rsidR="00930F34" w:rsidRPr="00930F34">
        <w:rPr>
          <w:rFonts w:cs="Times New Roman"/>
        </w:rPr>
        <w:t xml:space="preserve"> To search for new antimalarial structures, we constructed a generalized 3D pharmacophore based on </w:t>
      </w:r>
      <w:r w:rsidR="00930F34" w:rsidRPr="00930F34">
        <w:rPr>
          <w:rFonts w:cs="Times New Roman"/>
          <w:b/>
        </w:rPr>
        <w:t>1</w:t>
      </w:r>
      <w:r w:rsidR="00930F34" w:rsidRPr="00930F34">
        <w:rPr>
          <w:rFonts w:cs="Times New Roman"/>
        </w:rPr>
        <w:t xml:space="preserve"> and 92 of its </w:t>
      </w:r>
      <w:r w:rsidR="000D7A17" w:rsidRPr="00930F34">
        <w:rPr>
          <w:rFonts w:cs="Times New Roman"/>
        </w:rPr>
        <w:t>analogs and</w:t>
      </w:r>
      <w:r w:rsidR="00930F34" w:rsidRPr="00930F34">
        <w:rPr>
          <w:rFonts w:cs="Times New Roman"/>
        </w:rPr>
        <w:t xml:space="preserve"> used it for a virtual ligand screen of a publicly available database of antimalarial hits. This exercise identified </w:t>
      </w:r>
      <w:r w:rsidR="00930F34" w:rsidRPr="00930F34">
        <w:rPr>
          <w:rFonts w:cs="Times New Roman"/>
          <w:b/>
          <w:bCs/>
        </w:rPr>
        <w:t>2</w:t>
      </w:r>
      <w:r w:rsidR="00930F34" w:rsidRPr="00930F34">
        <w:rPr>
          <w:rFonts w:cs="Times New Roman"/>
        </w:rPr>
        <w:t xml:space="preserve"> (undefined stereochemistry), which was reported to have nearly the same potency of </w:t>
      </w:r>
      <w:r w:rsidR="00930F34" w:rsidRPr="00930F34">
        <w:rPr>
          <w:rFonts w:cs="Times New Roman"/>
          <w:b/>
        </w:rPr>
        <w:t>1</w:t>
      </w:r>
      <w:r w:rsidR="00930F34" w:rsidRPr="00930F34">
        <w:rPr>
          <w:rFonts w:cs="Times New Roman"/>
        </w:rPr>
        <w:t>.</w:t>
      </w:r>
      <w:r w:rsidR="00930F34" w:rsidRPr="00930F34">
        <w:rPr>
          <w:rFonts w:cs="Times New Roman"/>
          <w:b/>
        </w:rPr>
        <w:t xml:space="preserve"> </w:t>
      </w:r>
      <w:r w:rsidR="00930F34" w:rsidRPr="00930F34">
        <w:rPr>
          <w:rFonts w:cs="Times New Roman"/>
        </w:rPr>
        <w:t xml:space="preserve">All four stereoisomers of </w:t>
      </w:r>
      <w:r w:rsidR="00930F34" w:rsidRPr="00930F34">
        <w:rPr>
          <w:rFonts w:cs="Times New Roman"/>
          <w:b/>
          <w:bCs/>
        </w:rPr>
        <w:t xml:space="preserve">2 </w:t>
      </w:r>
      <w:r w:rsidR="00930F34" w:rsidRPr="00930F34">
        <w:rPr>
          <w:rFonts w:cs="Times New Roman"/>
        </w:rPr>
        <w:t xml:space="preserve">were synthesized, but none were potent antimalarials. Serendipitously, the </w:t>
      </w:r>
      <w:r w:rsidR="00930F34" w:rsidRPr="00930F34">
        <w:rPr>
          <w:rFonts w:ascii="Calibri" w:hAnsi="Calibri" w:cs="Calibri"/>
        </w:rPr>
        <w:t>β</w:t>
      </w:r>
      <w:r w:rsidR="00930F34" w:rsidRPr="00930F34">
        <w:rPr>
          <w:rFonts w:cs="Times New Roman"/>
        </w:rPr>
        <w:t xml:space="preserve">-carboline byproduct </w:t>
      </w:r>
      <w:r w:rsidR="00930F34" w:rsidRPr="00930F34">
        <w:rPr>
          <w:rFonts w:cs="Times New Roman"/>
          <w:b/>
          <w:bCs/>
        </w:rPr>
        <w:t>3</w:t>
      </w:r>
      <w:r w:rsidR="00930F34" w:rsidRPr="00930F34">
        <w:rPr>
          <w:rFonts w:cs="Times New Roman"/>
        </w:rPr>
        <w:t xml:space="preserve"> (formed in the synthesis of </w:t>
      </w:r>
      <w:r w:rsidR="00930F34" w:rsidRPr="00930F34">
        <w:rPr>
          <w:rFonts w:cs="Times New Roman"/>
          <w:b/>
          <w:bCs/>
        </w:rPr>
        <w:t xml:space="preserve">2) </w:t>
      </w:r>
      <w:r w:rsidR="00930F34" w:rsidRPr="00930F34">
        <w:rPr>
          <w:rFonts w:cs="Times New Roman"/>
        </w:rPr>
        <w:t>proved to be more potent in vitro</w:t>
      </w:r>
      <w:r w:rsidR="00930F34" w:rsidRPr="00930F34">
        <w:rPr>
          <w:rFonts w:cs="Times New Roman"/>
          <w:i/>
          <w:iCs/>
        </w:rPr>
        <w:t xml:space="preserve"> </w:t>
      </w:r>
      <w:r w:rsidR="00930F34" w:rsidRPr="00930F34">
        <w:rPr>
          <w:rFonts w:cs="Times New Roman"/>
        </w:rPr>
        <w:t xml:space="preserve">than </w:t>
      </w:r>
      <w:r w:rsidR="000D7A17" w:rsidRPr="00930F34">
        <w:rPr>
          <w:rFonts w:cs="Times New Roman"/>
          <w:b/>
          <w:bCs/>
        </w:rPr>
        <w:t xml:space="preserve">1 </w:t>
      </w:r>
      <w:r w:rsidR="000D7A17" w:rsidRPr="000D7A17">
        <w:rPr>
          <w:rFonts w:cs="Times New Roman"/>
          <w:bCs/>
        </w:rPr>
        <w:t>and</w:t>
      </w:r>
      <w:r w:rsidR="00930F34" w:rsidRPr="00930F34">
        <w:rPr>
          <w:rFonts w:cs="Times New Roman"/>
        </w:rPr>
        <w:t xml:space="preserve"> cleared malaria infection in mice following oral </w:t>
      </w:r>
      <w:r w:rsidRPr="00930F34">
        <w:rPr>
          <w:rFonts w:cs="Times New Roman"/>
        </w:rPr>
        <w:t>administration</w:t>
      </w:r>
      <w:r w:rsidR="00930F34" w:rsidRPr="00930F34">
        <w:rPr>
          <w:rFonts w:cs="Times New Roman"/>
        </w:rPr>
        <w:t xml:space="preserve">.  In this talk I will discuss the emerging structure-activity relationship within this scaffold, the animal efficacy model used, ADME-Tox and PK of </w:t>
      </w:r>
      <w:r w:rsidR="00930F34" w:rsidRPr="00930F34">
        <w:rPr>
          <w:rFonts w:cs="Times New Roman"/>
          <w:b/>
          <w:bCs/>
        </w:rPr>
        <w:t>3</w:t>
      </w:r>
      <w:r w:rsidR="00930F34" w:rsidRPr="00930F34">
        <w:rPr>
          <w:rFonts w:cs="Times New Roman"/>
        </w:rPr>
        <w:t>, and outline remaining challenges to improve drug-like properties.</w:t>
      </w:r>
    </w:p>
    <w:p w:rsidR="00AE3E37" w:rsidRDefault="00AE3FA1">
      <w:pPr>
        <w:pStyle w:val="Heading3"/>
        <w:spacing w:before="74"/>
      </w:pPr>
      <w:bookmarkStart w:id="0" w:name="_GoBack"/>
      <w:bookmarkEnd w:id="0"/>
      <w:r>
        <w:rPr>
          <w:rFonts w:ascii="Minion Pro"/>
          <w:noProof/>
          <w:sz w:val="26"/>
        </w:rPr>
        <w:drawing>
          <wp:anchor distT="0" distB="0" distL="114300" distR="114300" simplePos="0" relativeHeight="251658240" behindDoc="0" locked="0" layoutInCell="1" allowOverlap="1">
            <wp:simplePos x="0" y="0"/>
            <wp:positionH relativeFrom="column">
              <wp:posOffset>207010</wp:posOffset>
            </wp:positionH>
            <wp:positionV relativeFrom="paragraph">
              <wp:posOffset>1904814</wp:posOffset>
            </wp:positionV>
            <wp:extent cx="609600" cy="690880"/>
            <wp:effectExtent l="0" t="0" r="0" b="0"/>
            <wp:wrapNone/>
            <wp:docPr id="2" name="Picture 2" descr="A person standing in front of a brick wall&#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0659 (1).jpg"/>
                    <pic:cNvPicPr/>
                  </pic:nvPicPr>
                  <pic:blipFill rotWithShape="1">
                    <a:blip r:embed="rId11" cstate="print">
                      <a:extLst>
                        <a:ext uri="{28A0092B-C50C-407E-A947-70E740481C1C}">
                          <a14:useLocalDpi xmlns:a14="http://schemas.microsoft.com/office/drawing/2010/main" val="0"/>
                        </a:ext>
                      </a:extLst>
                    </a:blip>
                    <a:srcRect l="27422" t="1759" r="37644" b="38790"/>
                    <a:stretch/>
                  </pic:blipFill>
                  <pic:spPr bwMode="auto">
                    <a:xfrm>
                      <a:off x="0" y="0"/>
                      <a:ext cx="609600" cy="690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710C">
        <w:rPr>
          <w:b w:val="0"/>
        </w:rPr>
        <w:br w:type="column"/>
      </w:r>
      <w:r w:rsidR="00A9710C">
        <w:rPr>
          <w:color w:val="BF5A14"/>
        </w:rPr>
        <w:t>Image</w:t>
      </w:r>
    </w:p>
    <w:p w:rsidR="00AE3E37" w:rsidRDefault="00AE3E37">
      <w:pPr>
        <w:pStyle w:val="BodyText"/>
        <w:spacing w:before="2"/>
        <w:rPr>
          <w:rFonts w:ascii="Arial"/>
          <w:b/>
          <w:sz w:val="16"/>
        </w:rPr>
      </w:pPr>
    </w:p>
    <w:p w:rsidR="000D7A17" w:rsidRDefault="000D7A17"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B558DA" w:rsidRPr="00B558DA" w:rsidRDefault="000D7A17" w:rsidP="00B558DA">
      <w:pPr>
        <w:pStyle w:val="ListParagraph"/>
        <w:numPr>
          <w:ilvl w:val="0"/>
          <w:numId w:val="3"/>
        </w:numPr>
        <w:tabs>
          <w:tab w:val="left" w:pos="384"/>
        </w:tabs>
        <w:spacing w:before="103" w:line="216" w:lineRule="exact"/>
        <w:ind w:right="138" w:hanging="283"/>
        <w:rPr>
          <w:sz w:val="14"/>
        </w:rPr>
      </w:pPr>
      <w:hyperlink r:id="rId12" w:history="1">
        <w:r w:rsidRPr="000D7A17">
          <w:rPr>
            <w:rStyle w:val="Hyperlink2"/>
            <w:sz w:val="18"/>
          </w:rPr>
          <w:t xml:space="preserve">“Antimalarial Compounds and Uses Thereof”, </w:t>
        </w:r>
        <w:r w:rsidRPr="000D7A17">
          <w:rPr>
            <w:rStyle w:val="Link"/>
            <w:color w:val="000000"/>
            <w:sz w:val="18"/>
          </w:rPr>
          <w:t>PCT/US2021/024542, publication date 09/30/2021</w:t>
        </w:r>
      </w:hyperlink>
    </w:p>
    <w:p w:rsidR="00B558DA" w:rsidRPr="00B558DA" w:rsidRDefault="000D7A17" w:rsidP="00B558DA">
      <w:pPr>
        <w:pStyle w:val="ListParagraph"/>
        <w:numPr>
          <w:ilvl w:val="0"/>
          <w:numId w:val="3"/>
        </w:numPr>
        <w:tabs>
          <w:tab w:val="left" w:pos="384"/>
        </w:tabs>
        <w:spacing w:before="103" w:line="216" w:lineRule="exact"/>
        <w:ind w:right="138" w:hanging="283"/>
        <w:rPr>
          <w:sz w:val="14"/>
        </w:rPr>
      </w:pPr>
      <w:r w:rsidRPr="00B558DA">
        <w:rPr>
          <w:sz w:val="18"/>
          <w:szCs w:val="18"/>
        </w:rPr>
        <w:t>Mathew</w:t>
      </w:r>
      <w:r w:rsidR="00B558DA" w:rsidRPr="00B558DA">
        <w:rPr>
          <w:sz w:val="18"/>
          <w:szCs w:val="18"/>
        </w:rPr>
        <w:t xml:space="preserve"> J</w:t>
      </w:r>
      <w:r w:rsidRPr="00B558DA">
        <w:rPr>
          <w:sz w:val="18"/>
          <w:szCs w:val="18"/>
        </w:rPr>
        <w:t>, Ding</w:t>
      </w:r>
      <w:r w:rsidR="00B558DA" w:rsidRPr="00B558DA">
        <w:rPr>
          <w:sz w:val="18"/>
          <w:szCs w:val="18"/>
        </w:rPr>
        <w:t xml:space="preserve"> S</w:t>
      </w:r>
      <w:r w:rsidRPr="00B558DA">
        <w:rPr>
          <w:sz w:val="18"/>
          <w:szCs w:val="18"/>
        </w:rPr>
        <w:t>, Kunz</w:t>
      </w:r>
      <w:r w:rsidR="00B558DA" w:rsidRPr="00B558DA">
        <w:rPr>
          <w:sz w:val="18"/>
          <w:szCs w:val="18"/>
        </w:rPr>
        <w:t xml:space="preserve"> K</w:t>
      </w:r>
      <w:r w:rsidRPr="00B558DA">
        <w:rPr>
          <w:sz w:val="18"/>
          <w:szCs w:val="18"/>
        </w:rPr>
        <w:t>, Stacy</w:t>
      </w:r>
      <w:r w:rsidR="00B558DA" w:rsidRPr="00B558DA">
        <w:rPr>
          <w:sz w:val="18"/>
          <w:szCs w:val="18"/>
        </w:rPr>
        <w:t xml:space="preserve"> ES</w:t>
      </w:r>
      <w:r w:rsidRPr="00B558DA">
        <w:rPr>
          <w:sz w:val="18"/>
          <w:szCs w:val="18"/>
        </w:rPr>
        <w:t>, Butler</w:t>
      </w:r>
      <w:r w:rsidR="00B558DA" w:rsidRPr="00B558DA">
        <w:rPr>
          <w:sz w:val="18"/>
          <w:szCs w:val="18"/>
        </w:rPr>
        <w:t xml:space="preserve"> JH</w:t>
      </w:r>
      <w:r w:rsidRPr="00B558DA">
        <w:rPr>
          <w:sz w:val="18"/>
          <w:szCs w:val="18"/>
        </w:rPr>
        <w:t>, Haney</w:t>
      </w:r>
      <w:r w:rsidR="00B558DA" w:rsidRPr="00B558DA">
        <w:rPr>
          <w:sz w:val="18"/>
          <w:szCs w:val="18"/>
        </w:rPr>
        <w:t xml:space="preserve"> R</w:t>
      </w:r>
      <w:r w:rsidRPr="00B558DA">
        <w:rPr>
          <w:sz w:val="18"/>
          <w:szCs w:val="18"/>
        </w:rPr>
        <w:t>, Merino</w:t>
      </w:r>
      <w:r w:rsidR="00B558DA" w:rsidRPr="00B558DA">
        <w:rPr>
          <w:sz w:val="18"/>
          <w:szCs w:val="18"/>
        </w:rPr>
        <w:t xml:space="preserve"> EF</w:t>
      </w:r>
      <w:r w:rsidRPr="00B558DA">
        <w:rPr>
          <w:sz w:val="18"/>
          <w:szCs w:val="18"/>
        </w:rPr>
        <w:t xml:space="preserve">, </w:t>
      </w:r>
      <w:r w:rsidRPr="00B558DA">
        <w:rPr>
          <w:sz w:val="18"/>
          <w:szCs w:val="18"/>
        </w:rPr>
        <w:t>Rizopoulos</w:t>
      </w:r>
      <w:r w:rsidR="00B558DA" w:rsidRPr="00B558DA">
        <w:rPr>
          <w:sz w:val="18"/>
          <w:szCs w:val="18"/>
        </w:rPr>
        <w:t xml:space="preserve"> Z</w:t>
      </w:r>
      <w:r w:rsidRPr="00B558DA">
        <w:rPr>
          <w:sz w:val="18"/>
          <w:szCs w:val="18"/>
        </w:rPr>
        <w:t>,</w:t>
      </w:r>
      <w:r w:rsidR="00B558DA" w:rsidRPr="00B558DA">
        <w:rPr>
          <w:sz w:val="18"/>
          <w:szCs w:val="18"/>
        </w:rPr>
        <w:t xml:space="preserve"> </w:t>
      </w:r>
      <w:r w:rsidRPr="00B558DA">
        <w:rPr>
          <w:sz w:val="18"/>
          <w:szCs w:val="18"/>
        </w:rPr>
        <w:t>Totrov</w:t>
      </w:r>
      <w:r w:rsidR="00B558DA" w:rsidRPr="00B558DA">
        <w:rPr>
          <w:sz w:val="18"/>
          <w:szCs w:val="18"/>
        </w:rPr>
        <w:t xml:space="preserve"> M</w:t>
      </w:r>
      <w:r w:rsidRPr="00B558DA">
        <w:rPr>
          <w:sz w:val="18"/>
          <w:szCs w:val="18"/>
        </w:rPr>
        <w:t>, Cassera</w:t>
      </w:r>
      <w:r w:rsidR="00B558DA" w:rsidRPr="00B558DA">
        <w:rPr>
          <w:sz w:val="18"/>
          <w:szCs w:val="18"/>
        </w:rPr>
        <w:t xml:space="preserve"> MB</w:t>
      </w:r>
      <w:r w:rsidRPr="00B558DA">
        <w:rPr>
          <w:sz w:val="18"/>
          <w:szCs w:val="18"/>
        </w:rPr>
        <w:t>, Carlier</w:t>
      </w:r>
      <w:r w:rsidR="00B558DA" w:rsidRPr="00B558DA">
        <w:rPr>
          <w:sz w:val="18"/>
          <w:szCs w:val="18"/>
        </w:rPr>
        <w:t xml:space="preserve"> PR </w:t>
      </w:r>
      <w:r w:rsidRPr="00B558DA">
        <w:rPr>
          <w:sz w:val="18"/>
          <w:szCs w:val="18"/>
        </w:rPr>
        <w:t>(2022)</w:t>
      </w:r>
      <w:r w:rsidRPr="00B558DA">
        <w:rPr>
          <w:sz w:val="18"/>
          <w:szCs w:val="18"/>
        </w:rPr>
        <w:t xml:space="preserve"> </w:t>
      </w:r>
      <w:r w:rsidRPr="00B558DA">
        <w:rPr>
          <w:iCs/>
          <w:sz w:val="18"/>
          <w:szCs w:val="18"/>
        </w:rPr>
        <w:t>Malaria Box-inspired Discovery of N-aminoalkyl-β-carboline-3-carboxamides, a Novel Orally-active Class of Antimalarials</w:t>
      </w:r>
      <w:r w:rsidRPr="00B558DA">
        <w:rPr>
          <w:sz w:val="18"/>
          <w:szCs w:val="18"/>
        </w:rPr>
        <w:t>.Submitted to ACS Med. Chem. Lett.</w:t>
      </w:r>
    </w:p>
    <w:p w:rsidR="00256ABA" w:rsidRPr="00256ABA" w:rsidRDefault="000D7A17" w:rsidP="00256ABA">
      <w:pPr>
        <w:pStyle w:val="ListParagraph"/>
        <w:numPr>
          <w:ilvl w:val="0"/>
          <w:numId w:val="3"/>
        </w:numPr>
        <w:tabs>
          <w:tab w:val="left" w:pos="384"/>
        </w:tabs>
        <w:spacing w:before="103" w:line="216" w:lineRule="exact"/>
        <w:ind w:right="138" w:hanging="283"/>
        <w:rPr>
          <w:sz w:val="14"/>
        </w:rPr>
      </w:pPr>
      <w:hyperlink r:id="rId13" w:history="1">
        <w:r w:rsidRPr="00B558DA">
          <w:rPr>
            <w:rStyle w:val="Hyperlink3"/>
            <w:sz w:val="18"/>
            <w:szCs w:val="18"/>
            <w:u w:val="none"/>
          </w:rPr>
          <w:t>Bankar SK</w:t>
        </w:r>
        <w:r w:rsidR="00B558DA" w:rsidRPr="00B558DA">
          <w:rPr>
            <w:rStyle w:val="Hyperlink3"/>
            <w:sz w:val="18"/>
            <w:szCs w:val="18"/>
            <w:u w:val="none"/>
          </w:rPr>
          <w:t xml:space="preserve">, </w:t>
        </w:r>
        <w:r w:rsidRPr="00B558DA">
          <w:rPr>
            <w:rStyle w:val="Hyperlink3"/>
            <w:sz w:val="18"/>
            <w:szCs w:val="18"/>
            <w:u w:val="none"/>
          </w:rPr>
          <w:t>Mathew J</w:t>
        </w:r>
        <w:r w:rsidR="00B558DA" w:rsidRPr="00B558DA">
          <w:rPr>
            <w:rStyle w:val="Hyperlink3"/>
            <w:sz w:val="18"/>
            <w:szCs w:val="18"/>
            <w:u w:val="none"/>
          </w:rPr>
          <w:t>,</w:t>
        </w:r>
        <w:r w:rsidRPr="00B558DA">
          <w:rPr>
            <w:rStyle w:val="Hyperlink3"/>
            <w:sz w:val="18"/>
            <w:szCs w:val="18"/>
            <w:u w:val="none"/>
          </w:rPr>
          <w:t> Ramasastry</w:t>
        </w:r>
        <w:r w:rsidR="00B558DA" w:rsidRPr="00B558DA">
          <w:rPr>
            <w:rStyle w:val="Hyperlink3"/>
            <w:sz w:val="18"/>
            <w:szCs w:val="18"/>
            <w:u w:val="none"/>
          </w:rPr>
          <w:t xml:space="preserve"> </w:t>
        </w:r>
        <w:r w:rsidRPr="00B558DA">
          <w:rPr>
            <w:rStyle w:val="Hyperlink3"/>
            <w:sz w:val="18"/>
            <w:szCs w:val="18"/>
            <w:u w:val="none"/>
          </w:rPr>
          <w:t>SSV</w:t>
        </w:r>
        <w:r w:rsidR="00B558DA" w:rsidRPr="00B558DA">
          <w:rPr>
            <w:rStyle w:val="Hyperlink3"/>
            <w:sz w:val="18"/>
            <w:szCs w:val="18"/>
            <w:u w:val="none"/>
          </w:rPr>
          <w:t xml:space="preserve"> (2016)</w:t>
        </w:r>
        <w:r w:rsidRPr="00B558DA">
          <w:rPr>
            <w:rStyle w:val="Hyperlink3"/>
            <w:sz w:val="18"/>
            <w:szCs w:val="18"/>
            <w:u w:val="none"/>
          </w:rPr>
          <w:t> </w:t>
        </w:r>
        <w:r w:rsidR="00B558DA" w:rsidRPr="00B558DA">
          <w:rPr>
            <w:rFonts w:asciiTheme="minorHAnsi" w:hAnsiTheme="minorHAnsi" w:cstheme="minorHAnsi"/>
            <w:iCs/>
            <w:sz w:val="18"/>
            <w:szCs w:val="18"/>
          </w:rPr>
          <w:t>Synthesis of Benzofurans via Acid Catalyzed Transacetaliztion/Fries-Type O→C Rearrangement/Michael Addition/Ring-Opening Aromatization Cascade of β-Pyrones</w:t>
        </w:r>
        <w:r w:rsidR="00B558DA" w:rsidRPr="00B558DA">
          <w:rPr>
            <w:rFonts w:asciiTheme="minorHAnsi" w:hAnsiTheme="minorHAnsi" w:cstheme="minorHAnsi"/>
            <w:iCs/>
            <w:sz w:val="18"/>
            <w:szCs w:val="18"/>
          </w:rPr>
          <w:t xml:space="preserve">. </w:t>
        </w:r>
        <w:r w:rsidRPr="00B558DA">
          <w:rPr>
            <w:rStyle w:val="Hyperlink3"/>
            <w:sz w:val="18"/>
            <w:szCs w:val="18"/>
            <w:u w:val="none"/>
          </w:rPr>
          <w:t>Chem. Comm</w:t>
        </w:r>
        <w:r w:rsidR="00256ABA">
          <w:rPr>
            <w:rStyle w:val="Hyperlink3"/>
            <w:sz w:val="18"/>
            <w:szCs w:val="18"/>
            <w:u w:val="none"/>
          </w:rPr>
          <w:t>.</w:t>
        </w:r>
        <w:r w:rsidRPr="00B558DA">
          <w:rPr>
            <w:rStyle w:val="Hyperlink3"/>
            <w:sz w:val="18"/>
            <w:szCs w:val="18"/>
            <w:u w:val="none"/>
          </w:rPr>
          <w:t> 52</w:t>
        </w:r>
        <w:r w:rsidRPr="00B558DA">
          <w:rPr>
            <w:rStyle w:val="Hyperlink3"/>
            <w:sz w:val="18"/>
            <w:szCs w:val="18"/>
            <w:u w:val="none"/>
          </w:rPr>
          <w:t>:</w:t>
        </w:r>
        <w:r w:rsidRPr="00B558DA">
          <w:rPr>
            <w:rStyle w:val="Hyperlink3"/>
            <w:sz w:val="18"/>
            <w:szCs w:val="18"/>
            <w:u w:val="none"/>
          </w:rPr>
          <w:t>5569</w:t>
        </w:r>
      </w:hyperlink>
      <w:r w:rsidR="00B558DA">
        <w:rPr>
          <w:sz w:val="18"/>
          <w:szCs w:val="18"/>
        </w:rPr>
        <w:t>.</w:t>
      </w:r>
    </w:p>
    <w:p w:rsidR="00AE3E37" w:rsidRPr="008756E6" w:rsidRDefault="00B558DA" w:rsidP="00256ABA">
      <w:pPr>
        <w:pStyle w:val="ListParagraph"/>
        <w:numPr>
          <w:ilvl w:val="0"/>
          <w:numId w:val="3"/>
        </w:numPr>
        <w:tabs>
          <w:tab w:val="left" w:pos="384"/>
        </w:tabs>
        <w:spacing w:before="103" w:line="216" w:lineRule="exact"/>
        <w:ind w:right="138" w:hanging="283"/>
      </w:pPr>
      <w:hyperlink r:id="rId14" w:history="1">
        <w:r w:rsidRPr="00256ABA">
          <w:rPr>
            <w:rStyle w:val="Hyperlink3"/>
            <w:sz w:val="18"/>
            <w:u w:val="none"/>
          </w:rPr>
          <w:t>Manisha</w:t>
        </w:r>
        <w:r w:rsidRPr="00256ABA">
          <w:rPr>
            <w:rStyle w:val="Hyperlink3"/>
            <w:sz w:val="18"/>
            <w:u w:val="none"/>
          </w:rPr>
          <w:t>,</w:t>
        </w:r>
        <w:r w:rsidRPr="00256ABA">
          <w:rPr>
            <w:rStyle w:val="Hyperlink3"/>
            <w:sz w:val="18"/>
            <w:u w:val="none"/>
          </w:rPr>
          <w:t> Dhiman S</w:t>
        </w:r>
        <w:r w:rsidRPr="00256ABA">
          <w:rPr>
            <w:rStyle w:val="Hyperlink3"/>
            <w:sz w:val="18"/>
            <w:u w:val="none"/>
          </w:rPr>
          <w:t>,</w:t>
        </w:r>
        <w:r w:rsidRPr="00256ABA">
          <w:rPr>
            <w:rStyle w:val="Hyperlink3"/>
            <w:sz w:val="18"/>
            <w:u w:val="none"/>
          </w:rPr>
          <w:t xml:space="preserve"> Mathew J</w:t>
        </w:r>
        <w:r w:rsidRPr="00256ABA">
          <w:rPr>
            <w:rStyle w:val="Hyperlink3"/>
            <w:sz w:val="18"/>
            <w:u w:val="none"/>
          </w:rPr>
          <w:t>,</w:t>
        </w:r>
        <w:r w:rsidRPr="00256ABA">
          <w:rPr>
            <w:rStyle w:val="Hyperlink3"/>
            <w:sz w:val="18"/>
            <w:u w:val="none"/>
          </w:rPr>
          <w:t xml:space="preserve"> Ramasastry SSV </w:t>
        </w:r>
        <w:r w:rsidRPr="00256ABA">
          <w:rPr>
            <w:rStyle w:val="Hyperlink3"/>
            <w:sz w:val="18"/>
            <w:u w:val="none"/>
          </w:rPr>
          <w:t xml:space="preserve">(2016) </w:t>
        </w:r>
        <w:r w:rsidR="00256ABA" w:rsidRPr="00256ABA">
          <w:rPr>
            <w:iCs/>
            <w:sz w:val="18"/>
            <w:szCs w:val="18"/>
          </w:rPr>
          <w:t>One-pot Relay Catalysis: Divergent Synthesis of Furo[3,4-b]indoles and Cyclopenta[b]indoles from 3-(2-aminophenyl)-1,4-enynols</w:t>
        </w:r>
        <w:r w:rsidR="00256ABA">
          <w:rPr>
            <w:iCs/>
            <w:sz w:val="18"/>
            <w:szCs w:val="18"/>
          </w:rPr>
          <w:t>.</w:t>
        </w:r>
        <w:r w:rsidR="00256ABA" w:rsidRPr="00256ABA">
          <w:rPr>
            <w:iCs/>
            <w:sz w:val="18"/>
            <w:szCs w:val="18"/>
          </w:rPr>
          <w:t xml:space="preserve"> </w:t>
        </w:r>
        <w:r w:rsidRPr="00256ABA">
          <w:rPr>
            <w:rStyle w:val="Hyperlink3"/>
            <w:sz w:val="18"/>
            <w:u w:val="none"/>
          </w:rPr>
          <w:t>Org. Biomol.  Chem. 14, 5563</w:t>
        </w:r>
      </w:hyperlink>
    </w:p>
    <w:p w:rsidR="00AE3FA1" w:rsidRDefault="008756E6">
      <w:pPr>
        <w:spacing w:line="200" w:lineRule="exact"/>
        <w:jc w:val="both"/>
        <w:rPr>
          <w:rFonts w:ascii="Calibri" w:hAnsi="Calibri"/>
        </w:rPr>
      </w:pPr>
      <w:r>
        <w:rPr>
          <w:rFonts w:ascii="Calibri" w:hAnsi="Calibri"/>
        </w:rPr>
        <w:t xml:space="preserve">  </w:t>
      </w:r>
    </w:p>
    <w:p w:rsidR="00AE3FA1" w:rsidRDefault="00AE3FA1">
      <w:pPr>
        <w:spacing w:line="200" w:lineRule="exact"/>
        <w:jc w:val="both"/>
        <w:rPr>
          <w:rFonts w:ascii="Calibri" w:hAnsi="Calibr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8BC75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FA1" w:rsidRDefault="008756E6" w:rsidP="00404E5B">
      <w:pPr>
        <w:spacing w:before="92"/>
        <w:ind w:right="4234"/>
        <w:rPr>
          <w:noProof/>
          <w:lang w:val="en-IN" w:eastAsia="en-IN"/>
        </w:rPr>
      </w:pPr>
      <w:r>
        <w:rPr>
          <w:noProof/>
        </w:rPr>
        <w:t xml:space="preserve">              </w:t>
      </w:r>
    </w:p>
    <w:p w:rsidR="00AE3FA1" w:rsidRDefault="00AE3FA1" w:rsidP="00AE3FA1">
      <w:pPr>
        <w:spacing w:before="92"/>
        <w:ind w:left="720" w:right="4234" w:firstLine="720"/>
        <w:rPr>
          <w:rFonts w:ascii="Arial"/>
          <w:color w:val="BF5A14"/>
        </w:rPr>
      </w:pPr>
    </w:p>
    <w:p w:rsidR="00AE3E37" w:rsidRDefault="00256ABA" w:rsidP="00AE3FA1">
      <w:pPr>
        <w:spacing w:before="92"/>
        <w:ind w:left="720" w:right="4234" w:firstLine="720"/>
        <w:rPr>
          <w:rFonts w:ascii="Arial"/>
        </w:rPr>
      </w:pPr>
      <w:r>
        <w:rPr>
          <w:rFonts w:ascii="Arial"/>
          <w:color w:val="BF5A14"/>
        </w:rPr>
        <w:t>Jopaul Mathew</w:t>
      </w:r>
      <w:r w:rsidR="00404E5B">
        <w:rPr>
          <w:rFonts w:ascii="Arial"/>
          <w:color w:val="BF5A14"/>
        </w:rPr>
        <w:t xml:space="preserve"> </w:t>
      </w:r>
    </w:p>
    <w:p w:rsidR="00AE3E37" w:rsidRDefault="00256ABA">
      <w:pPr>
        <w:spacing w:before="41" w:line="154" w:lineRule="exact"/>
        <w:ind w:left="213" w:right="231"/>
        <w:jc w:val="both"/>
        <w:rPr>
          <w:rFonts w:ascii="Arial"/>
          <w:sz w:val="14"/>
        </w:rPr>
      </w:pPr>
      <w:r>
        <w:rPr>
          <w:rFonts w:ascii="Arial"/>
          <w:sz w:val="14"/>
        </w:rPr>
        <w:t xml:space="preserve">Jopaul Mathew is currently(2017-present) doing his PhD in discovering and developing orally efficacious Betacarboline antimalarials under the guidance of Dr. Paul R Carlier, Department of chemistry Virginia Tech University, USA. This research group was able to develop a drug lead which can be optimized to a drug candidate for treating malaria in near future. He was graduated with an integrated dual BS-MS degree (2011-2016) in Chemistry from Indian Institute of Science Education and Research, Mohali, India. </w:t>
      </w:r>
    </w:p>
    <w:p w:rsidR="00AE3E37" w:rsidRDefault="00A9710C">
      <w:pPr>
        <w:spacing w:before="62"/>
        <w:ind w:left="4217" w:right="4235"/>
        <w:jc w:val="center"/>
        <w:rPr>
          <w:rFonts w:ascii="Arial"/>
          <w:sz w:val="14"/>
        </w:rPr>
      </w:pPr>
      <w:r>
        <w:rPr>
          <w:rFonts w:ascii="Arial"/>
          <w:sz w:val="14"/>
        </w:rPr>
        <w:t xml:space="preserve">Email: </w:t>
      </w:r>
      <w:hyperlink r:id="rId15" w:history="1">
        <w:r w:rsidR="00256ABA" w:rsidRPr="00AE3FA1">
          <w:rPr>
            <w:rStyle w:val="Hyperlink"/>
            <w:rFonts w:ascii="Arial"/>
            <w:sz w:val="14"/>
          </w:rPr>
          <w:t>jopaulm6@vt.edu</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5414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FD8F0" id="Line 3"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AE3FA1" w:rsidRDefault="00A9710C" w:rsidP="00AE3FA1">
      <w:pPr>
        <w:spacing w:before="39"/>
        <w:ind w:left="100"/>
        <w:rPr>
          <w:rFonts w:ascii="Minion Pro"/>
          <w:b/>
          <w:sz w:val="20"/>
        </w:rPr>
        <w:sectPr w:rsidR="00AE3E37" w:rsidRPr="00AE3FA1">
          <w:type w:val="continuous"/>
          <w:pgSz w:w="11910" w:h="16840"/>
          <w:pgMar w:top="1740" w:right="600" w:bottom="840" w:left="620" w:header="720" w:footer="720" w:gutter="0"/>
          <w:cols w:space="720"/>
        </w:sectPr>
      </w:pPr>
      <w:r w:rsidRPr="00B21A57">
        <w:rPr>
          <w:rFonts w:ascii="Minion Pro"/>
          <w:b/>
          <w:sz w:val="20"/>
        </w:rPr>
        <w:t>Notes/Comments:</w:t>
      </w:r>
    </w:p>
    <w:p w:rsidR="00AE3FA1" w:rsidRDefault="00AE3FA1">
      <w:pPr>
        <w:pStyle w:val="BodyText"/>
        <w:spacing w:before="3"/>
        <w:rPr>
          <w:rFonts w:ascii="Minion Pro"/>
          <w:noProof/>
          <w:sz w:val="26"/>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5BC3" w:rsidRDefault="00765BC3">
      <w:r>
        <w:separator/>
      </w:r>
    </w:p>
  </w:endnote>
  <w:endnote w:type="continuationSeparator" w:id="0">
    <w:p w:rsidR="00765BC3" w:rsidRDefault="00765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default"/>
  </w:font>
  <w:font w:name="Impact">
    <w:panose1 w:val="020B0806030902050204"/>
    <w:charset w:val="00"/>
    <w:family w:val="swiss"/>
    <w:pitch w:val="variable"/>
    <w:sig w:usb0="00000287" w:usb1="00000000" w:usb2="00000000" w:usb3="00000000" w:csb0="000000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5BC3" w:rsidRDefault="00765BC3">
      <w:r>
        <w:separator/>
      </w:r>
    </w:p>
  </w:footnote>
  <w:footnote w:type="continuationSeparator" w:id="0">
    <w:p w:rsidR="00765BC3" w:rsidRDefault="00765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D7A17"/>
    <w:rsid w:val="000E2911"/>
    <w:rsid w:val="001263DF"/>
    <w:rsid w:val="002455EC"/>
    <w:rsid w:val="00256ABA"/>
    <w:rsid w:val="00292ED9"/>
    <w:rsid w:val="00404E5B"/>
    <w:rsid w:val="00414F7B"/>
    <w:rsid w:val="004355DC"/>
    <w:rsid w:val="004749B4"/>
    <w:rsid w:val="00494130"/>
    <w:rsid w:val="004F3523"/>
    <w:rsid w:val="005973B9"/>
    <w:rsid w:val="005B3A56"/>
    <w:rsid w:val="006060CE"/>
    <w:rsid w:val="0063497F"/>
    <w:rsid w:val="00765BC3"/>
    <w:rsid w:val="00873DF0"/>
    <w:rsid w:val="008756E6"/>
    <w:rsid w:val="008A08B6"/>
    <w:rsid w:val="00930F34"/>
    <w:rsid w:val="009B2D44"/>
    <w:rsid w:val="009E3B1B"/>
    <w:rsid w:val="00A07E82"/>
    <w:rsid w:val="00A9710C"/>
    <w:rsid w:val="00AE3E37"/>
    <w:rsid w:val="00AE3FA1"/>
    <w:rsid w:val="00B21A57"/>
    <w:rsid w:val="00B558DA"/>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45197"/>
  <w15:docId w15:val="{516EA074-1FDC-4AEA-91C1-7A73ACAE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930F34"/>
    <w:rPr>
      <w:sz w:val="16"/>
      <w:szCs w:val="16"/>
    </w:rPr>
  </w:style>
  <w:style w:type="paragraph" w:styleId="CommentText">
    <w:name w:val="annotation text"/>
    <w:basedOn w:val="Normal"/>
    <w:link w:val="CommentTextChar"/>
    <w:uiPriority w:val="99"/>
    <w:unhideWhenUsed/>
    <w:rsid w:val="00930F34"/>
    <w:pPr>
      <w:widowControl/>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930F34"/>
    <w:rPr>
      <w:sz w:val="20"/>
      <w:szCs w:val="20"/>
    </w:rPr>
  </w:style>
  <w:style w:type="character" w:customStyle="1" w:styleId="Link">
    <w:name w:val="Link"/>
    <w:rsid w:val="000D7A17"/>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yperlink2">
    <w:name w:val="Hyperlink.2"/>
    <w:basedOn w:val="Link"/>
    <w:rsid w:val="000D7A17"/>
    <w:rPr>
      <w:strike w:val="0"/>
      <w:dstrike w:val="0"/>
      <w:color w:val="000000"/>
      <w:u w:val="none" w:color="000000"/>
      <w:effect w:val="none"/>
      <w14:shadow w14:blurRad="0" w14:dist="0" w14:dir="0" w14:sx="0" w14:sy="0" w14:kx="0" w14:ky="0" w14:algn="none">
        <w14:srgbClr w14:val="000000"/>
      </w14:shadow>
      <w14:textOutline w14:w="0" w14:cap="rnd" w14:cmpd="sng" w14:algn="ctr">
        <w14:noFill/>
        <w14:prstDash w14:val="solid"/>
        <w14:bevel/>
      </w14:textOutline>
    </w:rPr>
  </w:style>
  <w:style w:type="paragraph" w:styleId="NoSpacing">
    <w:name w:val="No Spacing"/>
    <w:qFormat/>
    <w:rsid w:val="000D7A17"/>
    <w:pPr>
      <w:widowControl/>
    </w:pPr>
    <w:rPr>
      <w:rFonts w:ascii="Calibri" w:eastAsia="Arial Unicode MS" w:hAnsi="Calibri" w:cs="Arial Unicode MS"/>
      <w:color w:val="000000"/>
      <w:u w:color="000000"/>
    </w:rPr>
  </w:style>
  <w:style w:type="character" w:customStyle="1" w:styleId="Hyperlink3">
    <w:name w:val="Hyperlink.3"/>
    <w:basedOn w:val="Link"/>
    <w:rsid w:val="000D7A17"/>
    <w:rPr>
      <w:rFonts w:ascii="Calibri" w:eastAsia="Calibri" w:hAnsi="Calibri" w:cs="Calibri" w:hint="default"/>
      <w:color w:val="000000"/>
      <w:u w:val="single" w:color="000000"/>
      <w:shd w:val="clear" w:color="auto" w:fill="FFFFFF"/>
      <w14:shadow w14:blurRad="0" w14:dist="0" w14:dir="0" w14:sx="0" w14:sy="0" w14:kx="0" w14:ky="0" w14:algn="none">
        <w14:srgbClr w14:val="000000"/>
      </w14:shadow>
      <w14:textOutline w14:w="0" w14:cap="rnd" w14:cmpd="sng" w14:algn="ctr">
        <w14:noFill/>
        <w14:prstDash w14:val="solid"/>
        <w14:bevel/>
      </w14:textOutline>
    </w:rPr>
  </w:style>
  <w:style w:type="character" w:styleId="UnresolvedMention">
    <w:name w:val="Unresolved Mention"/>
    <w:basedOn w:val="DefaultParagraphFont"/>
    <w:uiPriority w:val="99"/>
    <w:semiHidden/>
    <w:unhideWhenUsed/>
    <w:rsid w:val="00AE3FA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58188">
      <w:bodyDiv w:val="1"/>
      <w:marLeft w:val="0"/>
      <w:marRight w:val="0"/>
      <w:marTop w:val="0"/>
      <w:marBottom w:val="0"/>
      <w:divBdr>
        <w:top w:val="none" w:sz="0" w:space="0" w:color="auto"/>
        <w:left w:val="none" w:sz="0" w:space="0" w:color="auto"/>
        <w:bottom w:val="none" w:sz="0" w:space="0" w:color="auto"/>
        <w:right w:val="none" w:sz="0" w:space="0" w:color="auto"/>
      </w:divBdr>
    </w:div>
    <w:div w:id="34278200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9219723">
      <w:bodyDiv w:val="1"/>
      <w:marLeft w:val="0"/>
      <w:marRight w:val="0"/>
      <w:marTop w:val="0"/>
      <w:marBottom w:val="0"/>
      <w:divBdr>
        <w:top w:val="none" w:sz="0" w:space="0" w:color="auto"/>
        <w:left w:val="none" w:sz="0" w:space="0" w:color="auto"/>
        <w:bottom w:val="none" w:sz="0" w:space="0" w:color="auto"/>
        <w:right w:val="none" w:sz="0" w:space="0" w:color="auto"/>
      </w:divBdr>
    </w:div>
    <w:div w:id="114296096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08049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ubs.rsc.org/en/content/articlelanding/2016/CC/C6CC01016D"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onscope.com/ipowner/en/ip/ptwo/US2021024542.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mailto:jopaulm6@vt.edu" TargetMode="Externa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https://pubs.rsc.org/en/content/articlelanding/2016/OB/C6OB00319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Jopaul M</cp:lastModifiedBy>
  <cp:revision>2</cp:revision>
  <dcterms:created xsi:type="dcterms:W3CDTF">2022-02-02T05:00:00Z</dcterms:created>
  <dcterms:modified xsi:type="dcterms:W3CDTF">2022-02-02T05:00:00Z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