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E14" w:rsidRPr="00860DFF" w:rsidRDefault="00613E14" w:rsidP="00613E14">
      <w:pPr>
        <w:spacing w:line="48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860DFF">
        <w:rPr>
          <w:rFonts w:asciiTheme="majorBidi" w:hAnsiTheme="majorBidi" w:cstheme="majorBidi"/>
          <w:b/>
          <w:bCs/>
          <w:sz w:val="28"/>
          <w:szCs w:val="28"/>
        </w:rPr>
        <w:t xml:space="preserve">Neo-adjuvant </w:t>
      </w:r>
      <w:proofErr w:type="spellStart"/>
      <w:r>
        <w:rPr>
          <w:rFonts w:asciiTheme="majorBidi" w:hAnsiTheme="majorBidi" w:cstheme="majorBidi"/>
          <w:b/>
          <w:bCs/>
          <w:sz w:val="28"/>
          <w:szCs w:val="28"/>
        </w:rPr>
        <w:t>C</w:t>
      </w:r>
      <w:r w:rsidRPr="00860DFF">
        <w:rPr>
          <w:rFonts w:asciiTheme="majorBidi" w:hAnsiTheme="majorBidi" w:cstheme="majorBidi"/>
          <w:b/>
          <w:bCs/>
          <w:sz w:val="28"/>
          <w:szCs w:val="28"/>
        </w:rPr>
        <w:t>hemoradiotherapy</w:t>
      </w:r>
      <w:proofErr w:type="spellEnd"/>
      <w:r w:rsidRPr="00860DFF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R</w:t>
      </w:r>
      <w:r w:rsidRPr="00860DFF">
        <w:rPr>
          <w:rFonts w:asciiTheme="majorBidi" w:hAnsiTheme="majorBidi" w:cstheme="majorBidi"/>
          <w:b/>
          <w:bCs/>
          <w:sz w:val="28"/>
          <w:szCs w:val="28"/>
        </w:rPr>
        <w:t xml:space="preserve">esponse </w:t>
      </w:r>
      <w:r>
        <w:rPr>
          <w:rFonts w:asciiTheme="majorBidi" w:hAnsiTheme="majorBidi" w:cstheme="majorBidi"/>
          <w:b/>
          <w:bCs/>
          <w:sz w:val="28"/>
          <w:szCs w:val="28"/>
        </w:rPr>
        <w:t>P</w:t>
      </w:r>
      <w:r w:rsidRPr="00860DFF">
        <w:rPr>
          <w:rFonts w:asciiTheme="majorBidi" w:hAnsiTheme="majorBidi" w:cstheme="majorBidi"/>
          <w:b/>
          <w:bCs/>
          <w:sz w:val="28"/>
          <w:szCs w:val="28"/>
        </w:rPr>
        <w:t>rediction using MRI</w:t>
      </w:r>
      <w:r>
        <w:rPr>
          <w:rFonts w:asciiTheme="majorBidi" w:hAnsiTheme="majorBidi" w:cstheme="majorBidi"/>
          <w:b/>
          <w:bCs/>
          <w:sz w:val="28"/>
          <w:szCs w:val="28"/>
        </w:rPr>
        <w:t>-</w:t>
      </w:r>
      <w:r w:rsidRPr="00860DFF">
        <w:rPr>
          <w:rFonts w:asciiTheme="majorBidi" w:hAnsiTheme="majorBidi" w:cstheme="majorBidi"/>
          <w:b/>
          <w:bCs/>
          <w:sz w:val="28"/>
          <w:szCs w:val="28"/>
        </w:rPr>
        <w:t xml:space="preserve">based </w:t>
      </w:r>
      <w:r>
        <w:rPr>
          <w:rFonts w:asciiTheme="majorBidi" w:hAnsiTheme="majorBidi" w:cstheme="majorBidi"/>
          <w:b/>
          <w:bCs/>
          <w:sz w:val="28"/>
          <w:szCs w:val="28"/>
        </w:rPr>
        <w:t>E</w:t>
      </w:r>
      <w:r w:rsidRPr="00860DFF">
        <w:rPr>
          <w:rFonts w:asciiTheme="majorBidi" w:hAnsiTheme="majorBidi" w:cstheme="majorBidi"/>
          <w:b/>
          <w:bCs/>
          <w:sz w:val="28"/>
          <w:szCs w:val="28"/>
        </w:rPr>
        <w:t xml:space="preserve">nsemble </w:t>
      </w:r>
      <w:r>
        <w:rPr>
          <w:rFonts w:asciiTheme="majorBidi" w:hAnsiTheme="majorBidi" w:cstheme="majorBidi"/>
          <w:b/>
          <w:bCs/>
          <w:sz w:val="28"/>
          <w:szCs w:val="28"/>
        </w:rPr>
        <w:t>L</w:t>
      </w:r>
      <w:r w:rsidRPr="00860DFF">
        <w:rPr>
          <w:rFonts w:asciiTheme="majorBidi" w:hAnsiTheme="majorBidi" w:cstheme="majorBidi"/>
          <w:b/>
          <w:bCs/>
          <w:sz w:val="28"/>
          <w:szCs w:val="28"/>
        </w:rPr>
        <w:t xml:space="preserve">earning </w:t>
      </w:r>
      <w:r>
        <w:rPr>
          <w:rFonts w:asciiTheme="majorBidi" w:hAnsiTheme="majorBidi" w:cstheme="majorBidi"/>
          <w:b/>
          <w:bCs/>
          <w:sz w:val="28"/>
          <w:szCs w:val="28"/>
        </w:rPr>
        <w:t>M</w:t>
      </w:r>
      <w:r w:rsidRPr="00860DFF">
        <w:rPr>
          <w:rFonts w:asciiTheme="majorBidi" w:hAnsiTheme="majorBidi" w:cstheme="majorBidi"/>
          <w:b/>
          <w:bCs/>
          <w:sz w:val="28"/>
          <w:szCs w:val="28"/>
        </w:rPr>
        <w:t xml:space="preserve">ethod in </w:t>
      </w:r>
      <w:r>
        <w:rPr>
          <w:rFonts w:asciiTheme="majorBidi" w:hAnsiTheme="majorBidi" w:cstheme="majorBidi"/>
          <w:b/>
          <w:bCs/>
          <w:sz w:val="28"/>
          <w:szCs w:val="28"/>
        </w:rPr>
        <w:t>R</w:t>
      </w:r>
      <w:r w:rsidRPr="00860DFF">
        <w:rPr>
          <w:rFonts w:asciiTheme="majorBidi" w:hAnsiTheme="majorBidi" w:cstheme="majorBidi"/>
          <w:b/>
          <w:bCs/>
          <w:sz w:val="28"/>
          <w:szCs w:val="28"/>
        </w:rPr>
        <w:t xml:space="preserve">ectal </w:t>
      </w:r>
      <w:r>
        <w:rPr>
          <w:rFonts w:asciiTheme="majorBidi" w:hAnsiTheme="majorBidi" w:cstheme="majorBidi"/>
          <w:b/>
          <w:bCs/>
          <w:sz w:val="28"/>
          <w:szCs w:val="28"/>
        </w:rPr>
        <w:t>C</w:t>
      </w:r>
      <w:r w:rsidRPr="00860DFF">
        <w:rPr>
          <w:rFonts w:asciiTheme="majorBidi" w:hAnsiTheme="majorBidi" w:cstheme="majorBidi"/>
          <w:b/>
          <w:bCs/>
          <w:sz w:val="28"/>
          <w:szCs w:val="28"/>
        </w:rPr>
        <w:t xml:space="preserve">ancer </w:t>
      </w:r>
      <w:r>
        <w:rPr>
          <w:rFonts w:asciiTheme="majorBidi" w:hAnsiTheme="majorBidi" w:cstheme="majorBidi"/>
          <w:b/>
          <w:bCs/>
          <w:sz w:val="28"/>
          <w:szCs w:val="28"/>
        </w:rPr>
        <w:t>P</w:t>
      </w:r>
      <w:r w:rsidRPr="00860DFF">
        <w:rPr>
          <w:rFonts w:asciiTheme="majorBidi" w:hAnsiTheme="majorBidi" w:cstheme="majorBidi"/>
          <w:b/>
          <w:bCs/>
          <w:sz w:val="28"/>
          <w:szCs w:val="28"/>
        </w:rPr>
        <w:t xml:space="preserve">atients </w:t>
      </w:r>
    </w:p>
    <w:p w:rsidR="00613E14" w:rsidRPr="004831D9" w:rsidRDefault="00613E14" w:rsidP="00613E14">
      <w:pPr>
        <w:spacing w:line="360" w:lineRule="auto"/>
        <w:rPr>
          <w:rFonts w:asciiTheme="minorBidi" w:hAnsiTheme="minorBidi"/>
          <w:sz w:val="28"/>
          <w:szCs w:val="28"/>
        </w:rPr>
      </w:pPr>
      <w:proofErr w:type="spellStart"/>
      <w:r w:rsidRPr="004831D9">
        <w:rPr>
          <w:rFonts w:asciiTheme="minorBidi" w:hAnsiTheme="minorBidi"/>
          <w:sz w:val="20"/>
          <w:szCs w:val="20"/>
        </w:rPr>
        <w:t>Sajad</w:t>
      </w:r>
      <w:proofErr w:type="spellEnd"/>
      <w:r w:rsidRPr="004831D9">
        <w:rPr>
          <w:rFonts w:asciiTheme="minorBidi" w:hAnsiTheme="minorBidi"/>
          <w:sz w:val="20"/>
          <w:szCs w:val="20"/>
        </w:rPr>
        <w:t xml:space="preserve"> P shayesteh</w:t>
      </w:r>
      <w:r w:rsidRPr="004831D9">
        <w:rPr>
          <w:rFonts w:asciiTheme="minorBidi" w:hAnsiTheme="minorBidi"/>
          <w:sz w:val="20"/>
          <w:szCs w:val="20"/>
          <w:vertAlign w:val="superscript"/>
        </w:rPr>
        <w:t>1</w:t>
      </w:r>
      <w:r>
        <w:rPr>
          <w:rFonts w:asciiTheme="minorBidi" w:hAnsiTheme="minorBidi"/>
          <w:sz w:val="20"/>
          <w:szCs w:val="20"/>
        </w:rPr>
        <w:t>,</w:t>
      </w:r>
      <w:r w:rsidRPr="004831D9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4831D9">
        <w:rPr>
          <w:rFonts w:asciiTheme="minorBidi" w:hAnsiTheme="minorBidi"/>
          <w:sz w:val="20"/>
          <w:szCs w:val="20"/>
        </w:rPr>
        <w:t>Afsaneh</w:t>
      </w:r>
      <w:proofErr w:type="spellEnd"/>
      <w:r w:rsidRPr="004831D9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4831D9">
        <w:rPr>
          <w:rFonts w:asciiTheme="minorBidi" w:hAnsiTheme="minorBidi"/>
          <w:sz w:val="20"/>
          <w:szCs w:val="20"/>
        </w:rPr>
        <w:t>Alikhassi</w:t>
      </w:r>
      <w:proofErr w:type="spellEnd"/>
      <w:r w:rsidRPr="004831D9">
        <w:rPr>
          <w:rFonts w:asciiTheme="minorBidi" w:hAnsiTheme="minorBidi"/>
          <w:sz w:val="20"/>
          <w:szCs w:val="20"/>
        </w:rPr>
        <w:t xml:space="preserve"> </w:t>
      </w:r>
      <w:r w:rsidRPr="004831D9">
        <w:rPr>
          <w:rFonts w:asciiTheme="minorBidi" w:hAnsiTheme="minorBidi"/>
          <w:sz w:val="20"/>
          <w:szCs w:val="20"/>
          <w:vertAlign w:val="superscript"/>
        </w:rPr>
        <w:t>2</w:t>
      </w:r>
      <w:r>
        <w:rPr>
          <w:rFonts w:asciiTheme="minorBidi" w:hAnsiTheme="minorBidi"/>
          <w:sz w:val="20"/>
          <w:szCs w:val="20"/>
        </w:rPr>
        <w:t>,</w:t>
      </w:r>
      <w:r w:rsidRPr="004831D9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4831D9">
        <w:rPr>
          <w:rFonts w:asciiTheme="minorBidi" w:hAnsiTheme="minorBidi"/>
          <w:sz w:val="20"/>
          <w:szCs w:val="20"/>
        </w:rPr>
        <w:t>armaghan</w:t>
      </w:r>
      <w:proofErr w:type="spellEnd"/>
      <w:r w:rsidRPr="004831D9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4831D9">
        <w:rPr>
          <w:rFonts w:asciiTheme="minorBidi" w:hAnsiTheme="minorBidi"/>
          <w:sz w:val="20"/>
          <w:szCs w:val="20"/>
        </w:rPr>
        <w:t>fard</w:t>
      </w:r>
      <w:proofErr w:type="spellEnd"/>
      <w:r w:rsidRPr="004831D9">
        <w:rPr>
          <w:rFonts w:asciiTheme="minorBidi" w:hAnsiTheme="minorBidi"/>
          <w:sz w:val="20"/>
          <w:szCs w:val="20"/>
        </w:rPr>
        <w:t xml:space="preserve"> esfahani</w:t>
      </w:r>
      <w:r w:rsidRPr="004831D9">
        <w:rPr>
          <w:rFonts w:asciiTheme="minorBidi" w:hAnsiTheme="minorBidi"/>
          <w:sz w:val="20"/>
          <w:szCs w:val="20"/>
          <w:vertAlign w:val="superscript"/>
        </w:rPr>
        <w:t>3</w:t>
      </w:r>
      <w:r>
        <w:rPr>
          <w:rFonts w:asciiTheme="minorBidi" w:hAnsiTheme="minorBidi"/>
          <w:sz w:val="20"/>
          <w:szCs w:val="20"/>
        </w:rPr>
        <w:t>,</w:t>
      </w:r>
      <w:r w:rsidRPr="004831D9">
        <w:rPr>
          <w:rFonts w:asciiTheme="minorBidi" w:hAnsiTheme="minorBidi"/>
          <w:sz w:val="20"/>
          <w:szCs w:val="20"/>
        </w:rPr>
        <w:t xml:space="preserve"> </w:t>
      </w:r>
      <w:proofErr w:type="spellStart"/>
      <w:r>
        <w:rPr>
          <w:rFonts w:asciiTheme="minorBidi" w:hAnsiTheme="minorBidi"/>
          <w:sz w:val="20"/>
          <w:szCs w:val="20"/>
        </w:rPr>
        <w:t>Miraie</w:t>
      </w:r>
      <w:proofErr w:type="spellEnd"/>
      <w:r>
        <w:rPr>
          <w:rFonts w:asciiTheme="minorBidi" w:hAnsiTheme="minorBidi"/>
          <w:sz w:val="20"/>
          <w:szCs w:val="20"/>
        </w:rPr>
        <w:t xml:space="preserve"> M</w:t>
      </w:r>
      <w:r w:rsidRPr="00655DA2">
        <w:rPr>
          <w:rFonts w:asciiTheme="minorBidi" w:hAnsiTheme="minorBidi"/>
          <w:sz w:val="20"/>
          <w:szCs w:val="20"/>
          <w:vertAlign w:val="superscript"/>
        </w:rPr>
        <w:t>4</w:t>
      </w:r>
      <w:r>
        <w:rPr>
          <w:rFonts w:asciiTheme="minorBidi" w:hAnsiTheme="minorBidi"/>
          <w:sz w:val="20"/>
          <w:szCs w:val="20"/>
        </w:rPr>
        <w:t xml:space="preserve">, </w:t>
      </w:r>
      <w:r w:rsidRPr="004831D9">
        <w:rPr>
          <w:rFonts w:asciiTheme="minorBidi" w:hAnsiTheme="minorBidi"/>
          <w:sz w:val="20"/>
          <w:szCs w:val="20"/>
        </w:rPr>
        <w:t>Parham geramifar</w:t>
      </w:r>
      <w:r w:rsidRPr="004831D9">
        <w:rPr>
          <w:rFonts w:asciiTheme="minorBidi" w:hAnsiTheme="minorBidi"/>
          <w:sz w:val="20"/>
          <w:szCs w:val="20"/>
          <w:vertAlign w:val="superscript"/>
        </w:rPr>
        <w:t>3</w:t>
      </w:r>
      <w:r>
        <w:rPr>
          <w:rFonts w:asciiTheme="minorBidi" w:hAnsiTheme="minorBidi"/>
          <w:sz w:val="20"/>
          <w:szCs w:val="20"/>
        </w:rPr>
        <w:t>,</w:t>
      </w:r>
      <w:r w:rsidRPr="004831D9">
        <w:rPr>
          <w:rFonts w:asciiTheme="minorBidi" w:hAnsiTheme="minorBidi"/>
          <w:sz w:val="20"/>
          <w:szCs w:val="20"/>
        </w:rPr>
        <w:t xml:space="preserve"> Ahmad </w:t>
      </w:r>
      <w:proofErr w:type="spellStart"/>
      <w:r w:rsidRPr="004831D9">
        <w:rPr>
          <w:rFonts w:asciiTheme="minorBidi" w:hAnsiTheme="minorBidi"/>
          <w:sz w:val="20"/>
          <w:szCs w:val="20"/>
        </w:rPr>
        <w:t>bitarafan-rajabi</w:t>
      </w:r>
      <w:proofErr w:type="spellEnd"/>
      <w:r>
        <w:rPr>
          <w:rFonts w:asciiTheme="minorBidi" w:hAnsiTheme="minorBidi"/>
          <w:sz w:val="20"/>
          <w:szCs w:val="20"/>
          <w:vertAlign w:val="superscript"/>
        </w:rPr>
        <w:t xml:space="preserve"> 5, 6</w:t>
      </w:r>
      <w:r>
        <w:rPr>
          <w:rFonts w:asciiTheme="minorBidi" w:hAnsiTheme="minorBidi"/>
          <w:sz w:val="20"/>
          <w:szCs w:val="20"/>
        </w:rPr>
        <w:t xml:space="preserve">, </w:t>
      </w:r>
      <w:proofErr w:type="spellStart"/>
      <w:r w:rsidRPr="004831D9">
        <w:rPr>
          <w:rFonts w:asciiTheme="minorBidi" w:hAnsiTheme="minorBidi"/>
          <w:sz w:val="20"/>
          <w:szCs w:val="20"/>
        </w:rPr>
        <w:t>Pe</w:t>
      </w:r>
      <w:r>
        <w:rPr>
          <w:rFonts w:asciiTheme="minorBidi" w:hAnsiTheme="minorBidi"/>
          <w:sz w:val="20"/>
          <w:szCs w:val="20"/>
        </w:rPr>
        <w:t>i</w:t>
      </w:r>
      <w:r w:rsidRPr="004831D9">
        <w:rPr>
          <w:rFonts w:asciiTheme="minorBidi" w:hAnsiTheme="minorBidi"/>
          <w:sz w:val="20"/>
          <w:szCs w:val="20"/>
        </w:rPr>
        <w:t>man</w:t>
      </w:r>
      <w:proofErr w:type="spellEnd"/>
      <w:r w:rsidRPr="004831D9">
        <w:rPr>
          <w:rFonts w:asciiTheme="minorBidi" w:hAnsiTheme="minorBidi"/>
          <w:sz w:val="20"/>
          <w:szCs w:val="20"/>
        </w:rPr>
        <w:t xml:space="preserve"> </w:t>
      </w:r>
      <w:proofErr w:type="spellStart"/>
      <w:r w:rsidRPr="004831D9">
        <w:rPr>
          <w:rFonts w:asciiTheme="minorBidi" w:hAnsiTheme="minorBidi"/>
          <w:sz w:val="20"/>
          <w:szCs w:val="20"/>
        </w:rPr>
        <w:t>haddad</w:t>
      </w:r>
      <w:proofErr w:type="spellEnd"/>
      <w:r w:rsidRPr="004831D9">
        <w:rPr>
          <w:rFonts w:asciiTheme="minorBidi" w:hAnsiTheme="minorBidi"/>
          <w:sz w:val="20"/>
          <w:szCs w:val="20"/>
          <w:vertAlign w:val="superscript"/>
        </w:rPr>
        <w:t xml:space="preserve"> </w:t>
      </w:r>
      <w:r>
        <w:rPr>
          <w:rFonts w:asciiTheme="minorBidi" w:hAnsiTheme="minorBidi"/>
          <w:sz w:val="20"/>
          <w:szCs w:val="20"/>
          <w:vertAlign w:val="superscript"/>
        </w:rPr>
        <w:t>7</w:t>
      </w:r>
      <w:r>
        <w:rPr>
          <w:rFonts w:asciiTheme="minorBidi" w:hAnsiTheme="minorBidi"/>
          <w:sz w:val="28"/>
          <w:szCs w:val="28"/>
        </w:rPr>
        <w:t>.</w:t>
      </w:r>
    </w:p>
    <w:p w:rsidR="00613E14" w:rsidRPr="0061539A" w:rsidRDefault="00613E14" w:rsidP="00613E14">
      <w:pPr>
        <w:widowControl/>
        <w:numPr>
          <w:ilvl w:val="0"/>
          <w:numId w:val="2"/>
        </w:numPr>
        <w:textAlignment w:val="baseline"/>
        <w:rPr>
          <w:rFonts w:asciiTheme="minorBidi" w:hAnsiTheme="minorBidi"/>
          <w:color w:val="131413"/>
          <w:sz w:val="17"/>
          <w:szCs w:val="17"/>
        </w:rPr>
      </w:pPr>
      <w:r>
        <w:rPr>
          <w:rFonts w:asciiTheme="minorBidi" w:hAnsiTheme="minorBidi"/>
          <w:color w:val="131413"/>
          <w:sz w:val="17"/>
          <w:szCs w:val="17"/>
        </w:rPr>
        <w:t xml:space="preserve">Department of Physiology, </w:t>
      </w:r>
      <w:r w:rsidRPr="0061539A">
        <w:rPr>
          <w:rFonts w:asciiTheme="minorBidi" w:hAnsiTheme="minorBidi"/>
          <w:color w:val="131413"/>
          <w:sz w:val="17"/>
          <w:szCs w:val="17"/>
        </w:rPr>
        <w:t>Pharmacology</w:t>
      </w:r>
      <w:r>
        <w:rPr>
          <w:rFonts w:asciiTheme="minorBidi" w:hAnsiTheme="minorBidi"/>
          <w:color w:val="131413"/>
          <w:sz w:val="17"/>
          <w:szCs w:val="17"/>
        </w:rPr>
        <w:t xml:space="preserve"> and medical physics</w:t>
      </w:r>
      <w:r w:rsidRPr="0061539A">
        <w:rPr>
          <w:rFonts w:asciiTheme="minorBidi" w:hAnsiTheme="minorBidi"/>
          <w:color w:val="131413"/>
          <w:sz w:val="17"/>
          <w:szCs w:val="17"/>
        </w:rPr>
        <w:t xml:space="preserve">, Faculty of Medicine, </w:t>
      </w:r>
      <w:proofErr w:type="spellStart"/>
      <w:r w:rsidRPr="0061539A">
        <w:rPr>
          <w:rFonts w:asciiTheme="minorBidi" w:hAnsiTheme="minorBidi"/>
          <w:color w:val="131413"/>
          <w:sz w:val="17"/>
          <w:szCs w:val="17"/>
        </w:rPr>
        <w:t>Alborz</w:t>
      </w:r>
      <w:proofErr w:type="spellEnd"/>
      <w:r w:rsidRPr="0061539A">
        <w:rPr>
          <w:rFonts w:asciiTheme="minorBidi" w:hAnsiTheme="minorBidi"/>
          <w:color w:val="131413"/>
          <w:sz w:val="17"/>
          <w:szCs w:val="17"/>
        </w:rPr>
        <w:t xml:space="preserve"> University of Medical Sciences, Karaj. Iran.</w:t>
      </w:r>
    </w:p>
    <w:p w:rsidR="00613E14" w:rsidRPr="004831D9" w:rsidRDefault="00613E14" w:rsidP="00613E14">
      <w:pPr>
        <w:pStyle w:val="ListParagraph"/>
        <w:widowControl/>
        <w:numPr>
          <w:ilvl w:val="0"/>
          <w:numId w:val="2"/>
        </w:numPr>
        <w:autoSpaceDE w:val="0"/>
        <w:autoSpaceDN w:val="0"/>
        <w:adjustRightInd w:val="0"/>
        <w:spacing w:before="0" w:line="240" w:lineRule="auto"/>
        <w:contextualSpacing/>
        <w:jc w:val="left"/>
        <w:rPr>
          <w:rFonts w:asciiTheme="minorBidi" w:hAnsiTheme="minorBidi"/>
          <w:color w:val="131413"/>
          <w:sz w:val="17"/>
          <w:szCs w:val="17"/>
        </w:rPr>
      </w:pPr>
      <w:r w:rsidRPr="004831D9">
        <w:rPr>
          <w:rFonts w:asciiTheme="minorBidi" w:hAnsiTheme="minorBidi"/>
          <w:color w:val="131413"/>
          <w:sz w:val="17"/>
          <w:szCs w:val="17"/>
        </w:rPr>
        <w:t>Department of Radiology, Cancer Institute of Iran, Tehran University of Medical Sciences, Tehran, Iran</w:t>
      </w:r>
      <w:r>
        <w:rPr>
          <w:rFonts w:asciiTheme="minorBidi" w:hAnsiTheme="minorBidi"/>
          <w:color w:val="131413"/>
          <w:sz w:val="17"/>
          <w:szCs w:val="17"/>
        </w:rPr>
        <w:t>.</w:t>
      </w:r>
    </w:p>
    <w:p w:rsidR="00613E14" w:rsidRDefault="00613E14" w:rsidP="00613E14">
      <w:pPr>
        <w:pStyle w:val="ListParagraph"/>
        <w:widowControl/>
        <w:numPr>
          <w:ilvl w:val="0"/>
          <w:numId w:val="2"/>
        </w:numPr>
        <w:autoSpaceDE w:val="0"/>
        <w:autoSpaceDN w:val="0"/>
        <w:adjustRightInd w:val="0"/>
        <w:spacing w:before="0" w:line="240" w:lineRule="auto"/>
        <w:contextualSpacing/>
        <w:jc w:val="left"/>
        <w:rPr>
          <w:rFonts w:asciiTheme="minorBidi" w:hAnsiTheme="minorBidi"/>
          <w:color w:val="131413"/>
          <w:sz w:val="17"/>
          <w:szCs w:val="17"/>
        </w:rPr>
      </w:pPr>
      <w:r w:rsidRPr="004831D9">
        <w:rPr>
          <w:rFonts w:asciiTheme="minorBidi" w:hAnsiTheme="minorBidi"/>
          <w:color w:val="131413"/>
          <w:sz w:val="17"/>
          <w:szCs w:val="17"/>
        </w:rPr>
        <w:t xml:space="preserve">Research Center for Nuclear Medicine, </w:t>
      </w:r>
      <w:proofErr w:type="spellStart"/>
      <w:r w:rsidRPr="004831D9">
        <w:rPr>
          <w:rFonts w:asciiTheme="minorBidi" w:hAnsiTheme="minorBidi"/>
          <w:color w:val="131413"/>
          <w:sz w:val="17"/>
          <w:szCs w:val="17"/>
        </w:rPr>
        <w:t>Shariati</w:t>
      </w:r>
      <w:proofErr w:type="spellEnd"/>
      <w:r w:rsidRPr="004831D9">
        <w:rPr>
          <w:rFonts w:asciiTheme="minorBidi" w:hAnsiTheme="minorBidi"/>
          <w:color w:val="131413"/>
          <w:sz w:val="17"/>
          <w:szCs w:val="17"/>
        </w:rPr>
        <w:t xml:space="preserve"> Hospital, Tehran</w:t>
      </w:r>
      <w:r>
        <w:rPr>
          <w:rFonts w:asciiTheme="minorBidi" w:hAnsiTheme="minorBidi"/>
          <w:color w:val="131413"/>
          <w:sz w:val="17"/>
          <w:szCs w:val="17"/>
        </w:rPr>
        <w:t xml:space="preserve"> </w:t>
      </w:r>
      <w:r w:rsidRPr="004831D9">
        <w:rPr>
          <w:rFonts w:asciiTheme="minorBidi" w:hAnsiTheme="minorBidi"/>
          <w:color w:val="131413"/>
          <w:sz w:val="17"/>
          <w:szCs w:val="17"/>
        </w:rPr>
        <w:t>University of Medical Sciences, Tehran, Iran</w:t>
      </w:r>
      <w:r w:rsidRPr="00245B9A">
        <w:rPr>
          <w:rFonts w:asciiTheme="minorBidi" w:hAnsiTheme="minorBidi"/>
          <w:color w:val="131413"/>
          <w:sz w:val="17"/>
          <w:szCs w:val="17"/>
        </w:rPr>
        <w:t>.</w:t>
      </w:r>
    </w:p>
    <w:p w:rsidR="00613E14" w:rsidRDefault="00613E14" w:rsidP="00613E14">
      <w:pPr>
        <w:pStyle w:val="ListParagraph"/>
        <w:widowControl/>
        <w:numPr>
          <w:ilvl w:val="0"/>
          <w:numId w:val="2"/>
        </w:numPr>
        <w:autoSpaceDE w:val="0"/>
        <w:autoSpaceDN w:val="0"/>
        <w:adjustRightInd w:val="0"/>
        <w:spacing w:before="0" w:line="240" w:lineRule="auto"/>
        <w:contextualSpacing/>
        <w:jc w:val="left"/>
        <w:rPr>
          <w:rFonts w:asciiTheme="minorBidi" w:hAnsiTheme="minorBidi"/>
          <w:color w:val="131413"/>
          <w:sz w:val="17"/>
          <w:szCs w:val="17"/>
        </w:rPr>
      </w:pPr>
      <w:r w:rsidRPr="00655DA2">
        <w:rPr>
          <w:rFonts w:asciiTheme="minorBidi" w:hAnsiTheme="minorBidi"/>
          <w:color w:val="131413"/>
          <w:sz w:val="17"/>
          <w:szCs w:val="17"/>
        </w:rPr>
        <w:t>Cancer Research Centre &amp; Radiation Oncology Department, Cancer Institute, Tehran University of Medical Sciences, Tehran, Iran.</w:t>
      </w:r>
    </w:p>
    <w:p w:rsidR="00613E14" w:rsidRDefault="00613E14" w:rsidP="00613E14">
      <w:pPr>
        <w:pStyle w:val="ListParagraph"/>
        <w:widowControl/>
        <w:numPr>
          <w:ilvl w:val="0"/>
          <w:numId w:val="2"/>
        </w:numPr>
        <w:autoSpaceDE w:val="0"/>
        <w:autoSpaceDN w:val="0"/>
        <w:adjustRightInd w:val="0"/>
        <w:spacing w:before="0" w:line="240" w:lineRule="auto"/>
        <w:contextualSpacing/>
        <w:jc w:val="left"/>
        <w:rPr>
          <w:rFonts w:asciiTheme="minorBidi" w:hAnsiTheme="minorBidi"/>
          <w:color w:val="131413"/>
          <w:sz w:val="17"/>
          <w:szCs w:val="17"/>
        </w:rPr>
      </w:pPr>
      <w:r w:rsidRPr="005C4A7E">
        <w:rPr>
          <w:rFonts w:asciiTheme="minorBidi" w:hAnsiTheme="minorBidi"/>
          <w:color w:val="131413"/>
          <w:sz w:val="17"/>
          <w:szCs w:val="17"/>
        </w:rPr>
        <w:t xml:space="preserve">Cardiovascular Intervention Research Center, </w:t>
      </w:r>
      <w:proofErr w:type="spellStart"/>
      <w:r w:rsidRPr="005C4A7E">
        <w:rPr>
          <w:rFonts w:asciiTheme="minorBidi" w:hAnsiTheme="minorBidi"/>
          <w:color w:val="131413"/>
          <w:sz w:val="17"/>
          <w:szCs w:val="17"/>
        </w:rPr>
        <w:t>Rajaie</w:t>
      </w:r>
      <w:proofErr w:type="spellEnd"/>
      <w:r w:rsidRPr="005C4A7E">
        <w:rPr>
          <w:rFonts w:asciiTheme="minorBidi" w:hAnsiTheme="minorBidi"/>
          <w:color w:val="131413"/>
          <w:sz w:val="17"/>
          <w:szCs w:val="17"/>
        </w:rPr>
        <w:t xml:space="preserve"> Cardiovascular Medical and Research Center, Iran University of Medical Sciences, Tehran, Iran</w:t>
      </w:r>
      <w:r>
        <w:rPr>
          <w:rFonts w:asciiTheme="minorBidi" w:hAnsiTheme="minorBidi"/>
          <w:color w:val="131413"/>
          <w:sz w:val="17"/>
          <w:szCs w:val="17"/>
        </w:rPr>
        <w:t>.</w:t>
      </w:r>
    </w:p>
    <w:p w:rsidR="00613E14" w:rsidRDefault="00613E14" w:rsidP="00613E14">
      <w:pPr>
        <w:pStyle w:val="ListParagraph"/>
        <w:widowControl/>
        <w:numPr>
          <w:ilvl w:val="0"/>
          <w:numId w:val="2"/>
        </w:numPr>
        <w:autoSpaceDE w:val="0"/>
        <w:autoSpaceDN w:val="0"/>
        <w:adjustRightInd w:val="0"/>
        <w:spacing w:before="0" w:line="240" w:lineRule="auto"/>
        <w:contextualSpacing/>
        <w:jc w:val="left"/>
        <w:rPr>
          <w:rFonts w:asciiTheme="minorBidi" w:hAnsiTheme="minorBidi"/>
          <w:color w:val="131413"/>
          <w:sz w:val="17"/>
          <w:szCs w:val="17"/>
        </w:rPr>
      </w:pPr>
      <w:r w:rsidRPr="005C4A7E">
        <w:rPr>
          <w:rFonts w:asciiTheme="minorBidi" w:hAnsiTheme="minorBidi"/>
          <w:color w:val="131413"/>
          <w:sz w:val="17"/>
          <w:szCs w:val="17"/>
        </w:rPr>
        <w:t xml:space="preserve">Echocardiography Research Center, </w:t>
      </w:r>
      <w:proofErr w:type="spellStart"/>
      <w:r w:rsidRPr="005C4A7E">
        <w:rPr>
          <w:rFonts w:asciiTheme="minorBidi" w:hAnsiTheme="minorBidi"/>
          <w:color w:val="131413"/>
          <w:sz w:val="17"/>
          <w:szCs w:val="17"/>
        </w:rPr>
        <w:t>Rajaie</w:t>
      </w:r>
      <w:proofErr w:type="spellEnd"/>
      <w:r w:rsidRPr="005C4A7E">
        <w:rPr>
          <w:rFonts w:asciiTheme="minorBidi" w:hAnsiTheme="minorBidi"/>
          <w:color w:val="131413"/>
          <w:sz w:val="17"/>
          <w:szCs w:val="17"/>
        </w:rPr>
        <w:t xml:space="preserve"> Cardiovascular Medical and Research Center, Iran University of Medical Sciences, Tehran, Iran</w:t>
      </w:r>
      <w:r>
        <w:rPr>
          <w:rFonts w:asciiTheme="minorBidi" w:hAnsiTheme="minorBidi"/>
          <w:color w:val="131413"/>
          <w:sz w:val="17"/>
          <w:szCs w:val="17"/>
        </w:rPr>
        <w:t>.</w:t>
      </w:r>
    </w:p>
    <w:p w:rsidR="00613E14" w:rsidRPr="005C4A7E" w:rsidRDefault="00613E14" w:rsidP="00613E14">
      <w:pPr>
        <w:pStyle w:val="ListParagraph"/>
        <w:widowControl/>
        <w:numPr>
          <w:ilvl w:val="0"/>
          <w:numId w:val="2"/>
        </w:numPr>
        <w:autoSpaceDE w:val="0"/>
        <w:autoSpaceDN w:val="0"/>
        <w:adjustRightInd w:val="0"/>
        <w:spacing w:before="0" w:line="240" w:lineRule="auto"/>
        <w:contextualSpacing/>
        <w:jc w:val="left"/>
        <w:rPr>
          <w:rFonts w:asciiTheme="minorBidi" w:hAnsiTheme="minorBidi"/>
          <w:color w:val="131413"/>
          <w:sz w:val="17"/>
          <w:szCs w:val="17"/>
        </w:rPr>
      </w:pPr>
      <w:r w:rsidRPr="005C4A7E">
        <w:rPr>
          <w:rFonts w:asciiTheme="minorBidi" w:hAnsiTheme="minorBidi"/>
          <w:color w:val="131413"/>
          <w:sz w:val="17"/>
          <w:szCs w:val="17"/>
        </w:rPr>
        <w:t xml:space="preserve"> Radiation Oncology Research Center, Cancer Institute, Tehran University of Medical Sciences, Tehran, Iran</w:t>
      </w:r>
      <w:r>
        <w:rPr>
          <w:rFonts w:asciiTheme="minorBidi" w:hAnsiTheme="minorBidi"/>
          <w:color w:val="131413"/>
          <w:sz w:val="17"/>
          <w:szCs w:val="17"/>
        </w:rPr>
        <w:t>.</w:t>
      </w:r>
    </w:p>
    <w:p w:rsidR="006C759E" w:rsidRPr="00653494" w:rsidRDefault="006C759E" w:rsidP="006C759E">
      <w:pPr>
        <w:widowControl/>
        <w:autoSpaceDE w:val="0"/>
        <w:autoSpaceDN w:val="0"/>
        <w:adjustRightInd w:val="0"/>
        <w:contextualSpacing/>
        <w:rPr>
          <w:rFonts w:asciiTheme="minorBidi" w:hAnsiTheme="minorBidi"/>
          <w:color w:val="131413"/>
          <w:sz w:val="17"/>
          <w:szCs w:val="17"/>
        </w:rPr>
      </w:pPr>
    </w:p>
    <w:p w:rsidR="006C759E" w:rsidRDefault="006C759E" w:rsidP="006C759E">
      <w:pPr>
        <w:rPr>
          <w:rFonts w:ascii="Arial"/>
          <w:sz w:val="21"/>
        </w:rPr>
        <w:sectPr w:rsidR="006C759E" w:rsidSect="006C759E">
          <w:headerReference w:type="default" r:id="rId7"/>
          <w:footerReference w:type="default" r:id="rId8"/>
          <w:pgSz w:w="11910" w:h="16840"/>
          <w:pgMar w:top="1740" w:right="600" w:bottom="840" w:left="620" w:header="541" w:footer="642" w:gutter="0"/>
          <w:cols w:space="720"/>
        </w:sectPr>
      </w:pPr>
    </w:p>
    <w:p w:rsidR="006C759E" w:rsidRPr="00653494" w:rsidRDefault="006C759E" w:rsidP="006C759E">
      <w:pPr>
        <w:pStyle w:val="Heading3"/>
        <w:spacing w:before="147"/>
        <w:jc w:val="both"/>
        <w:rPr>
          <w:sz w:val="24"/>
          <w:szCs w:val="24"/>
        </w:rPr>
      </w:pPr>
      <w:r w:rsidRPr="00653494">
        <w:rPr>
          <w:sz w:val="24"/>
          <w:szCs w:val="24"/>
        </w:rPr>
        <w:lastRenderedPageBreak/>
        <w:t xml:space="preserve">Abstract </w:t>
      </w:r>
    </w:p>
    <w:p w:rsidR="00613E14" w:rsidRPr="00860DFF" w:rsidRDefault="00613E14" w:rsidP="00613E14">
      <w:pPr>
        <w:autoSpaceDE w:val="0"/>
        <w:autoSpaceDN w:val="0"/>
        <w:adjustRightInd w:val="0"/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860DFF">
        <w:rPr>
          <w:rFonts w:asciiTheme="majorBidi" w:hAnsiTheme="majorBidi" w:cstheme="majorBidi"/>
          <w:sz w:val="24"/>
          <w:szCs w:val="24"/>
        </w:rPr>
        <w:t xml:space="preserve">The aim of this study was to investigate </w:t>
      </w:r>
      <w:r>
        <w:rPr>
          <w:rFonts w:asciiTheme="majorBidi" w:hAnsiTheme="majorBidi" w:cstheme="majorBidi"/>
          <w:sz w:val="24"/>
          <w:szCs w:val="24"/>
        </w:rPr>
        <w:t xml:space="preserve">and validate </w:t>
      </w:r>
      <w:r w:rsidRPr="00860DFF">
        <w:rPr>
          <w:rFonts w:asciiTheme="majorBidi" w:hAnsiTheme="majorBidi" w:cstheme="majorBidi"/>
          <w:sz w:val="24"/>
          <w:szCs w:val="24"/>
        </w:rPr>
        <w:t xml:space="preserve">the performance of individual and ensemble machine learning models (EMLMs) based on magnetic resonance imaging (MRI) to predict neo-adjuvant </w:t>
      </w:r>
      <w:proofErr w:type="spellStart"/>
      <w:r w:rsidRPr="00860DFF">
        <w:rPr>
          <w:rFonts w:asciiTheme="majorBidi" w:hAnsiTheme="majorBidi" w:cstheme="majorBidi"/>
          <w:sz w:val="24"/>
          <w:szCs w:val="24"/>
        </w:rPr>
        <w:t>chemoradiation</w:t>
      </w:r>
      <w:proofErr w:type="spellEnd"/>
      <w:r w:rsidRPr="00860DFF">
        <w:rPr>
          <w:rFonts w:asciiTheme="majorBidi" w:hAnsiTheme="majorBidi" w:cstheme="majorBidi"/>
          <w:sz w:val="24"/>
          <w:szCs w:val="24"/>
        </w:rPr>
        <w:t xml:space="preserve"> therapy (</w:t>
      </w:r>
      <w:proofErr w:type="spellStart"/>
      <w:r w:rsidRPr="00860DFF">
        <w:rPr>
          <w:rFonts w:asciiTheme="majorBidi" w:hAnsiTheme="majorBidi" w:cstheme="majorBidi"/>
          <w:sz w:val="24"/>
          <w:szCs w:val="24"/>
        </w:rPr>
        <w:t>nCRT</w:t>
      </w:r>
      <w:proofErr w:type="spellEnd"/>
      <w:r w:rsidRPr="00860DFF">
        <w:rPr>
          <w:rFonts w:asciiTheme="majorBidi" w:hAnsiTheme="majorBidi" w:cstheme="majorBidi"/>
          <w:sz w:val="24"/>
          <w:szCs w:val="24"/>
        </w:rPr>
        <w:t xml:space="preserve">) response in rectal cancer patients. We also aimed to study the effect of </w:t>
      </w:r>
      <w:proofErr w:type="spellStart"/>
      <w:r w:rsidRPr="00860DFF">
        <w:rPr>
          <w:rFonts w:asciiTheme="majorBidi" w:hAnsiTheme="majorBidi" w:cstheme="majorBidi"/>
          <w:sz w:val="24"/>
          <w:szCs w:val="24"/>
        </w:rPr>
        <w:t>Laplacian</w:t>
      </w:r>
      <w:proofErr w:type="spellEnd"/>
      <w:r w:rsidRPr="00860DFF">
        <w:rPr>
          <w:rFonts w:asciiTheme="majorBidi" w:hAnsiTheme="majorBidi" w:cstheme="majorBidi"/>
          <w:sz w:val="24"/>
          <w:szCs w:val="24"/>
        </w:rPr>
        <w:t xml:space="preserve"> of Gaussian (LOG) filter on EMLMs predictive performance. </w:t>
      </w:r>
      <w:r>
        <w:rPr>
          <w:rFonts w:asciiTheme="majorBidi" w:hAnsiTheme="majorBidi" w:cstheme="majorBidi"/>
          <w:sz w:val="24"/>
          <w:szCs w:val="24"/>
        </w:rPr>
        <w:t>98</w:t>
      </w:r>
      <w:r w:rsidRPr="00860DFF">
        <w:rPr>
          <w:rFonts w:asciiTheme="majorBidi" w:hAnsiTheme="majorBidi" w:cstheme="majorBidi"/>
          <w:sz w:val="24"/>
          <w:szCs w:val="24"/>
        </w:rPr>
        <w:t xml:space="preserve"> rectal cancer </w:t>
      </w:r>
      <w:r w:rsidRPr="004A537D">
        <w:rPr>
          <w:rFonts w:asciiTheme="majorBidi" w:hAnsiTheme="majorBidi" w:cstheme="majorBidi"/>
          <w:sz w:val="24"/>
          <w:szCs w:val="24"/>
        </w:rPr>
        <w:t>patients were divided into a training (n=</w:t>
      </w:r>
      <w:r>
        <w:rPr>
          <w:rFonts w:asciiTheme="majorBidi" w:hAnsiTheme="majorBidi" w:cstheme="majorBidi"/>
          <w:sz w:val="24"/>
          <w:szCs w:val="24"/>
        </w:rPr>
        <w:t>53</w:t>
      </w:r>
      <w:r w:rsidRPr="004A537D">
        <w:rPr>
          <w:rFonts w:asciiTheme="majorBidi" w:hAnsiTheme="majorBidi" w:cstheme="majorBidi"/>
          <w:sz w:val="24"/>
          <w:szCs w:val="24"/>
        </w:rPr>
        <w:t>) and a validation set (n</w:t>
      </w:r>
      <w:r>
        <w:rPr>
          <w:rFonts w:asciiTheme="majorBidi" w:hAnsiTheme="majorBidi" w:cstheme="majorBidi"/>
          <w:sz w:val="24"/>
          <w:szCs w:val="24"/>
        </w:rPr>
        <w:t>=45)</w:t>
      </w:r>
      <w:r w:rsidRPr="00860DFF">
        <w:rPr>
          <w:rFonts w:asciiTheme="majorBidi" w:hAnsiTheme="majorBidi" w:cstheme="majorBidi"/>
          <w:sz w:val="24"/>
          <w:szCs w:val="24"/>
        </w:rPr>
        <w:t xml:space="preserve">. All patients underwent MRI a week before </w:t>
      </w:r>
      <w:proofErr w:type="spellStart"/>
      <w:r w:rsidRPr="00860DFF">
        <w:rPr>
          <w:rFonts w:asciiTheme="majorBidi" w:hAnsiTheme="majorBidi" w:cstheme="majorBidi"/>
          <w:sz w:val="24"/>
          <w:szCs w:val="24"/>
        </w:rPr>
        <w:t>nCRT</w:t>
      </w:r>
      <w:proofErr w:type="spellEnd"/>
      <w:r w:rsidRPr="00860DFF">
        <w:rPr>
          <w:rFonts w:asciiTheme="majorBidi" w:hAnsiTheme="majorBidi" w:cstheme="majorBidi"/>
          <w:sz w:val="24"/>
          <w:szCs w:val="24"/>
        </w:rPr>
        <w:t xml:space="preserve">. Several features from intensity, shape and texture feature sets were extracted from MR images. </w:t>
      </w:r>
      <w:r>
        <w:rPr>
          <w:rFonts w:asciiTheme="majorBidi" w:hAnsiTheme="majorBidi" w:cstheme="majorBidi"/>
          <w:sz w:val="24"/>
          <w:szCs w:val="24"/>
        </w:rPr>
        <w:t>SVM</w:t>
      </w:r>
      <w:r w:rsidRPr="00860DFF">
        <w:rPr>
          <w:rFonts w:asciiTheme="majorBidi" w:hAnsiTheme="majorBidi" w:cstheme="majorBidi"/>
          <w:sz w:val="24"/>
          <w:szCs w:val="24"/>
        </w:rPr>
        <w:t xml:space="preserve">, Bayesian network, neural network and </w:t>
      </w:r>
      <w:r>
        <w:rPr>
          <w:rFonts w:asciiTheme="majorBidi" w:hAnsiTheme="majorBidi" w:cstheme="majorBidi"/>
          <w:sz w:val="24"/>
          <w:szCs w:val="24"/>
        </w:rPr>
        <w:t>KNN</w:t>
      </w:r>
      <w:r w:rsidRPr="00860DFF">
        <w:rPr>
          <w:rFonts w:asciiTheme="majorBidi" w:hAnsiTheme="majorBidi" w:cstheme="majorBidi"/>
          <w:sz w:val="24"/>
          <w:szCs w:val="24"/>
        </w:rPr>
        <w:t xml:space="preserve"> classifiers were used individually and together for response prediction. Predictive performance was evaluated using the area under the receiver operator characteristic (ROC) curve (AUC).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860DFF">
        <w:rPr>
          <w:rFonts w:asciiTheme="majorBidi" w:hAnsiTheme="majorBidi" w:cstheme="majorBidi"/>
          <w:sz w:val="24"/>
          <w:szCs w:val="24"/>
        </w:rPr>
        <w:t xml:space="preserve">Patients' </w:t>
      </w:r>
      <w:proofErr w:type="spellStart"/>
      <w:r w:rsidRPr="00860DFF">
        <w:rPr>
          <w:rFonts w:asciiTheme="majorBidi" w:hAnsiTheme="majorBidi" w:cstheme="majorBidi"/>
          <w:sz w:val="24"/>
          <w:szCs w:val="24"/>
        </w:rPr>
        <w:t>nCRT</w:t>
      </w:r>
      <w:proofErr w:type="spellEnd"/>
      <w:r w:rsidRPr="00860DFF">
        <w:rPr>
          <w:rFonts w:asciiTheme="majorBidi" w:hAnsiTheme="majorBidi" w:cstheme="majorBidi"/>
          <w:sz w:val="24"/>
          <w:szCs w:val="24"/>
        </w:rPr>
        <w:t xml:space="preserve"> responses included </w:t>
      </w:r>
      <w:r>
        <w:rPr>
          <w:rFonts w:asciiTheme="majorBidi" w:hAnsiTheme="majorBidi" w:cstheme="majorBidi"/>
          <w:sz w:val="24"/>
          <w:szCs w:val="24"/>
        </w:rPr>
        <w:t>17</w:t>
      </w:r>
      <w:r w:rsidRPr="00860DFF">
        <w:rPr>
          <w:rFonts w:asciiTheme="majorBidi" w:hAnsiTheme="majorBidi" w:cstheme="majorBidi"/>
          <w:sz w:val="24"/>
          <w:szCs w:val="24"/>
        </w:rPr>
        <w:t xml:space="preserve"> patients with Grade 0, </w:t>
      </w:r>
      <w:r>
        <w:rPr>
          <w:rFonts w:asciiTheme="majorBidi" w:hAnsiTheme="majorBidi" w:cstheme="majorBidi"/>
          <w:sz w:val="24"/>
          <w:szCs w:val="24"/>
        </w:rPr>
        <w:t>28</w:t>
      </w:r>
      <w:r w:rsidRPr="00860DFF">
        <w:rPr>
          <w:rFonts w:asciiTheme="majorBidi" w:hAnsiTheme="majorBidi" w:cstheme="majorBidi"/>
          <w:sz w:val="24"/>
          <w:szCs w:val="24"/>
        </w:rPr>
        <w:t xml:space="preserve"> with Grade 1, </w:t>
      </w:r>
      <w:r>
        <w:rPr>
          <w:rFonts w:asciiTheme="majorBidi" w:hAnsiTheme="majorBidi" w:cstheme="majorBidi"/>
          <w:sz w:val="24"/>
          <w:szCs w:val="24"/>
        </w:rPr>
        <w:t>34</w:t>
      </w:r>
      <w:r w:rsidRPr="00860DFF">
        <w:rPr>
          <w:rFonts w:asciiTheme="majorBidi" w:hAnsiTheme="majorBidi" w:cstheme="majorBidi"/>
          <w:sz w:val="24"/>
          <w:szCs w:val="24"/>
        </w:rPr>
        <w:t xml:space="preserve"> with Grade 2, and </w:t>
      </w:r>
      <w:r>
        <w:rPr>
          <w:rFonts w:asciiTheme="majorBidi" w:hAnsiTheme="majorBidi" w:cstheme="majorBidi"/>
          <w:sz w:val="24"/>
          <w:szCs w:val="24"/>
        </w:rPr>
        <w:t>19</w:t>
      </w:r>
      <w:r w:rsidRPr="00860DFF">
        <w:rPr>
          <w:rFonts w:asciiTheme="majorBidi" w:hAnsiTheme="majorBidi" w:cstheme="majorBidi"/>
          <w:sz w:val="24"/>
          <w:szCs w:val="24"/>
        </w:rPr>
        <w:t xml:space="preserve"> with Grade 3 according to AJCC/CAP pathologic grading. In without preprocessing MR Image the best result was for Bayesian network classifier with </w:t>
      </w:r>
      <w:r>
        <w:rPr>
          <w:rFonts w:asciiTheme="majorBidi" w:hAnsiTheme="majorBidi" w:cstheme="majorBidi"/>
          <w:sz w:val="24"/>
          <w:szCs w:val="24"/>
        </w:rPr>
        <w:t>AUC</w:t>
      </w:r>
      <w:r w:rsidRPr="00860DFF">
        <w:rPr>
          <w:rFonts w:asciiTheme="majorBidi" w:hAnsiTheme="majorBidi" w:cstheme="majorBidi"/>
          <w:sz w:val="24"/>
          <w:szCs w:val="24"/>
        </w:rPr>
        <w:t xml:space="preserve"> and accuracy of 75.2% and 80.9% respectively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r w:rsidRPr="004A537D">
        <w:rPr>
          <w:rFonts w:asciiTheme="majorBidi" w:hAnsiTheme="majorBidi" w:cstheme="majorBidi"/>
          <w:sz w:val="24"/>
          <w:szCs w:val="24"/>
        </w:rPr>
        <w:t>which was confirmed in the validation set with an AUC and accuracy of 74% and 79% respectively</w:t>
      </w:r>
      <w:r w:rsidRPr="00860DFF">
        <w:rPr>
          <w:rFonts w:asciiTheme="majorBidi" w:hAnsiTheme="majorBidi" w:cstheme="majorBidi"/>
          <w:sz w:val="24"/>
          <w:szCs w:val="24"/>
        </w:rPr>
        <w:t xml:space="preserve">. In EMLMs the best result was for </w:t>
      </w:r>
      <w:r w:rsidRPr="00860DFF">
        <w:rPr>
          <w:rFonts w:asciiTheme="majorBidi" w:hAnsiTheme="majorBidi" w:cstheme="majorBidi"/>
          <w:color w:val="000000"/>
        </w:rPr>
        <w:t xml:space="preserve">4(SVM.NN.BN.KNN) </w:t>
      </w:r>
      <w:r w:rsidRPr="00860DFF">
        <w:rPr>
          <w:rFonts w:asciiTheme="majorBidi" w:hAnsiTheme="majorBidi" w:cstheme="majorBidi"/>
          <w:sz w:val="24"/>
          <w:szCs w:val="24"/>
        </w:rPr>
        <w:t xml:space="preserve">classifier EMLM with AUC and accuracy of </w:t>
      </w:r>
      <w:r w:rsidRPr="00860DFF">
        <w:rPr>
          <w:rFonts w:asciiTheme="majorBidi" w:hAnsiTheme="majorBidi" w:cstheme="majorBidi"/>
          <w:color w:val="000000"/>
        </w:rPr>
        <w:t>97.8</w:t>
      </w:r>
      <w:r w:rsidRPr="00860DFF">
        <w:rPr>
          <w:rFonts w:asciiTheme="majorBidi" w:hAnsiTheme="majorBidi" w:cstheme="majorBidi"/>
          <w:sz w:val="24"/>
          <w:szCs w:val="24"/>
        </w:rPr>
        <w:t xml:space="preserve">% and </w:t>
      </w:r>
      <w:r w:rsidRPr="00860DFF">
        <w:rPr>
          <w:rFonts w:asciiTheme="majorBidi" w:hAnsiTheme="majorBidi" w:cstheme="majorBidi"/>
          <w:color w:val="000000"/>
        </w:rPr>
        <w:t>92.8%</w:t>
      </w:r>
      <w:r w:rsidRPr="00860DFF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in testing and 95% and 90% in validation set </w:t>
      </w:r>
      <w:r>
        <w:rPr>
          <w:rFonts w:asciiTheme="majorBidi" w:hAnsiTheme="majorBidi" w:cstheme="majorBidi"/>
          <w:sz w:val="24"/>
          <w:szCs w:val="24"/>
        </w:rPr>
        <w:t xml:space="preserve">respectively.  </w:t>
      </w:r>
      <w:r w:rsidRPr="00860DFF">
        <w:rPr>
          <w:rFonts w:asciiTheme="majorBidi" w:hAnsiTheme="majorBidi" w:cstheme="majorBidi"/>
          <w:sz w:val="24"/>
          <w:szCs w:val="24"/>
        </w:rPr>
        <w:t>In conclusion, we observed that machine learning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860DFF">
        <w:rPr>
          <w:rFonts w:asciiTheme="majorBidi" w:hAnsiTheme="majorBidi" w:cstheme="majorBidi"/>
          <w:sz w:val="24"/>
          <w:szCs w:val="24"/>
        </w:rPr>
        <w:t xml:space="preserve">methods can used to predict </w:t>
      </w:r>
      <w:proofErr w:type="spellStart"/>
      <w:r w:rsidRPr="00860DFF">
        <w:rPr>
          <w:rFonts w:asciiTheme="majorBidi" w:hAnsiTheme="majorBidi" w:cstheme="majorBidi"/>
          <w:sz w:val="24"/>
          <w:szCs w:val="24"/>
        </w:rPr>
        <w:t>nCRT</w:t>
      </w:r>
      <w:proofErr w:type="spellEnd"/>
      <w:r w:rsidRPr="00860DFF">
        <w:rPr>
          <w:rFonts w:asciiTheme="majorBidi" w:hAnsiTheme="majorBidi" w:cstheme="majorBidi"/>
          <w:sz w:val="24"/>
          <w:szCs w:val="24"/>
        </w:rPr>
        <w:t xml:space="preserve"> response in patients </w:t>
      </w:r>
      <w:r w:rsidRPr="00860DFF">
        <w:rPr>
          <w:rFonts w:asciiTheme="majorBidi" w:hAnsiTheme="majorBidi" w:cstheme="majorBidi"/>
          <w:sz w:val="24"/>
          <w:szCs w:val="24"/>
        </w:rPr>
        <w:lastRenderedPageBreak/>
        <w:t xml:space="preserve">with rectal cancer. Preprocessing LOG filters and </w:t>
      </w:r>
      <w:r>
        <w:rPr>
          <w:rFonts w:asciiTheme="majorBidi" w:hAnsiTheme="majorBidi" w:cstheme="majorBidi"/>
          <w:sz w:val="24"/>
          <w:szCs w:val="24"/>
        </w:rPr>
        <w:t>EL</w:t>
      </w:r>
      <w:r w:rsidRPr="00860DFF">
        <w:rPr>
          <w:rFonts w:asciiTheme="majorBidi" w:hAnsiTheme="majorBidi" w:cstheme="majorBidi"/>
          <w:sz w:val="24"/>
          <w:szCs w:val="24"/>
        </w:rPr>
        <w:t xml:space="preserve"> models can improve the prediction process. </w:t>
      </w:r>
    </w:p>
    <w:p w:rsidR="006C759E" w:rsidRPr="00653494" w:rsidRDefault="006C759E" w:rsidP="00340961">
      <w:pPr>
        <w:pStyle w:val="Heading3"/>
        <w:spacing w:before="74"/>
        <w:rPr>
          <w:sz w:val="24"/>
          <w:szCs w:val="24"/>
        </w:rPr>
      </w:pPr>
      <w:r w:rsidRPr="00653494">
        <w:rPr>
          <w:sz w:val="24"/>
          <w:szCs w:val="24"/>
        </w:rPr>
        <w:t>Image</w:t>
      </w:r>
    </w:p>
    <w:p w:rsidR="006C759E" w:rsidRDefault="00613E14" w:rsidP="006C759E">
      <w:pPr>
        <w:pStyle w:val="BodyText"/>
        <w:spacing w:before="2"/>
        <w:rPr>
          <w:rFonts w:ascii="Arial"/>
          <w:b/>
          <w:sz w:val="16"/>
        </w:rPr>
      </w:pPr>
      <w:r w:rsidRPr="00613E14">
        <w:rPr>
          <w:rFonts w:ascii="Arial"/>
          <w:b/>
          <w:noProof/>
          <w:sz w:val="16"/>
          <w:lang w:bidi="fa-IR"/>
        </w:rPr>
        <w:drawing>
          <wp:inline distT="0" distB="0" distL="0" distR="0">
            <wp:extent cx="3513364" cy="1543050"/>
            <wp:effectExtent l="0" t="0" r="0" b="0"/>
            <wp:docPr id="1" name="Picture 1" descr="E:\texture analysis\thesis\article\New paper\94 PATIENT\FIGURE 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texture analysis\thesis\article\New paper\94 PATIENT\FIGURE 1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5613" cy="1544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59E" w:rsidRPr="00653494" w:rsidRDefault="006C759E" w:rsidP="006C759E">
      <w:pPr>
        <w:spacing w:line="204" w:lineRule="exact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/>
          <w:b/>
          <w:color w:val="BF5A14"/>
          <w:sz w:val="20"/>
        </w:rPr>
        <w:br/>
      </w:r>
      <w:r>
        <w:rPr>
          <w:rFonts w:ascii="Arial" w:eastAsia="Arial" w:hAnsi="Arial" w:cs="Arial"/>
          <w:b/>
          <w:bCs/>
          <w:sz w:val="24"/>
          <w:szCs w:val="24"/>
        </w:rPr>
        <w:t>Recent Publications</w:t>
      </w:r>
    </w:p>
    <w:bookmarkStart w:id="0" w:name="_GoBack"/>
    <w:p w:rsidR="006C759E" w:rsidRPr="006C759E" w:rsidRDefault="006C759E" w:rsidP="006C759E">
      <w:pPr>
        <w:pStyle w:val="EndNoteBibliography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6C759E">
        <w:t>1.</w:t>
      </w:r>
      <w:r w:rsidRPr="006C759E">
        <w:tab/>
        <w:t xml:space="preserve">Summers, R.M., </w:t>
      </w:r>
      <w:r w:rsidRPr="006C759E">
        <w:rPr>
          <w:i/>
        </w:rPr>
        <w:t>Are we at a crossroads or a plateau? Radiomics and machine learning in abdominal oncology imaging.</w:t>
      </w:r>
      <w:r w:rsidRPr="006C759E">
        <w:t xml:space="preserve"> Abdominal Radiology, 2018: p. 1-5.</w:t>
      </w:r>
    </w:p>
    <w:p w:rsidR="006C759E" w:rsidRPr="006C759E" w:rsidRDefault="006C759E" w:rsidP="006C759E">
      <w:pPr>
        <w:pStyle w:val="EndNoteBibliography"/>
        <w:ind w:left="720" w:hanging="720"/>
      </w:pPr>
      <w:r w:rsidRPr="006C759E">
        <w:t>2.</w:t>
      </w:r>
      <w:r w:rsidRPr="006C759E">
        <w:tab/>
        <w:t xml:space="preserve">William, W., et al. </w:t>
      </w:r>
      <w:r w:rsidRPr="006C759E">
        <w:rPr>
          <w:i/>
        </w:rPr>
        <w:t>A review of applications of image analysis and machine learning techniques in automated diagnosis and classification of cervical cancer from pap-smear images</w:t>
      </w:r>
      <w:r w:rsidRPr="006C759E">
        <w:t xml:space="preserve">. in </w:t>
      </w:r>
      <w:r w:rsidRPr="006C759E">
        <w:rPr>
          <w:i/>
        </w:rPr>
        <w:t>2018 IST-Africa Week Conference (IST-Africa)</w:t>
      </w:r>
      <w:r w:rsidRPr="006C759E">
        <w:t>. 2018. IEEE.</w:t>
      </w:r>
    </w:p>
    <w:p w:rsidR="006C759E" w:rsidRPr="006C759E" w:rsidRDefault="006C759E" w:rsidP="006C759E">
      <w:pPr>
        <w:pStyle w:val="EndNoteBibliography"/>
        <w:ind w:left="720" w:hanging="720"/>
      </w:pPr>
      <w:r w:rsidRPr="006C759E">
        <w:t>3.</w:t>
      </w:r>
      <w:r w:rsidRPr="006C759E">
        <w:tab/>
        <w:t xml:space="preserve">Yin, P., et al., </w:t>
      </w:r>
      <w:r w:rsidRPr="006C759E">
        <w:rPr>
          <w:i/>
        </w:rPr>
        <w:t>Comparison of radiomics machine-learning classifiers and feature selection for differentiation of sacral chordoma and sacral giant cell tumour based on 3D computed tomography features.</w:t>
      </w:r>
      <w:r w:rsidRPr="006C759E">
        <w:t xml:space="preserve"> European radiology, 2018: p. 1-7.</w:t>
      </w:r>
    </w:p>
    <w:p w:rsidR="006C759E" w:rsidRPr="006C759E" w:rsidRDefault="006C759E" w:rsidP="006C759E">
      <w:pPr>
        <w:pStyle w:val="EndNoteBibliography"/>
        <w:ind w:left="720" w:hanging="720"/>
      </w:pPr>
      <w:r w:rsidRPr="006C759E">
        <w:t>4.</w:t>
      </w:r>
      <w:r w:rsidRPr="006C759E">
        <w:tab/>
        <w:t xml:space="preserve">Bibault, J.-E., et al., </w:t>
      </w:r>
      <w:r w:rsidRPr="006C759E">
        <w:rPr>
          <w:i/>
        </w:rPr>
        <w:t>Deep Learning and Radiomics predict complete response after neo-adjuvant chemoradiation for locally advanced rectal cancer.</w:t>
      </w:r>
      <w:r w:rsidRPr="006C759E">
        <w:t xml:space="preserve"> Scientific reports, 2018. </w:t>
      </w:r>
      <w:r w:rsidRPr="006C759E">
        <w:rPr>
          <w:b/>
        </w:rPr>
        <w:t>8</w:t>
      </w:r>
      <w:r w:rsidRPr="006C759E">
        <w:t>(1): p. 12611.</w:t>
      </w:r>
    </w:p>
    <w:p w:rsidR="006C759E" w:rsidRPr="006C759E" w:rsidRDefault="006C759E" w:rsidP="006C759E">
      <w:pPr>
        <w:pStyle w:val="EndNoteBibliography"/>
        <w:ind w:left="720" w:hanging="720"/>
      </w:pPr>
      <w:r w:rsidRPr="006C759E">
        <w:t>5.</w:t>
      </w:r>
      <w:r w:rsidRPr="006C759E">
        <w:tab/>
        <w:t xml:space="preserve">Masciocchi, C., et al., </w:t>
      </w:r>
      <w:r w:rsidRPr="006C759E">
        <w:rPr>
          <w:i/>
        </w:rPr>
        <w:t>An externally validated MRI radiomics model for predicting clinical response in rectal cancer.</w:t>
      </w:r>
      <w:r w:rsidRPr="006C759E">
        <w:t xml:space="preserve"> 2018.</w:t>
      </w:r>
    </w:p>
    <w:p w:rsidR="006C759E" w:rsidRPr="006C759E" w:rsidRDefault="006C759E" w:rsidP="006C759E">
      <w:pPr>
        <w:tabs>
          <w:tab w:val="left" w:pos="384"/>
        </w:tabs>
        <w:ind w:right="117"/>
        <w:sectPr w:rsidR="006C759E" w:rsidRPr="006C759E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fldChar w:fldCharType="end"/>
      </w:r>
      <w:bookmarkEnd w:id="0"/>
    </w:p>
    <w:p w:rsidR="000A4845" w:rsidRDefault="000A4845" w:rsidP="00613E14"/>
    <w:sectPr w:rsidR="000A4845" w:rsidSect="0092293E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25A7" w:rsidRDefault="005D25A7" w:rsidP="006C759E">
      <w:r>
        <w:separator/>
      </w:r>
    </w:p>
  </w:endnote>
  <w:endnote w:type="continuationSeparator" w:id="0">
    <w:p w:rsidR="005D25A7" w:rsidRDefault="005D25A7" w:rsidP="006C75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0999">
    <w:pPr>
      <w:pStyle w:val="BodyText"/>
      <w:spacing w:line="14" w:lineRule="auto"/>
      <w:rPr>
        <w:sz w:val="20"/>
      </w:rPr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0401F4F5" wp14:editId="5A1F1F30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290999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290999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01F4F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62usQIAALA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3oXoZTsxXzVlaP&#10;oGAlQWCgRRh7YDRS/cBogBGSYf19TxXDqP0g4BXYeTMbaja2s0FFCVczbDCazLWZ5tK+V3zXAPL0&#10;zoS8gZdScyfiM4vj+4Kx4HI5jjA7d57+O6/zoF39Bg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Glvra6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290999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290999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6FC5983" wp14:editId="4A02F81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290999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290999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6FC5983" id="Text Box 2" o:spid="_x0000_s1028" type="#_x0000_t202" style="position:absolute;margin-left:252.1pt;margin-top:799.05pt;width:91.9pt;height:24.9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Oyi5pa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290999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290999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6EF37938" wp14:editId="0D7E3968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290999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290999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EF37938" id="Text Box 1" o:spid="_x0000_s1029" type="#_x0000_t202" style="position:absolute;margin-left:468.9pt;margin-top:798.8pt;width:91.4pt;height:26.0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xjIsA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czGd7ATxRMoWAoQ&#10;GGgRxh4YlZDfMepghCRYfTsQSTGq33N4BWbejIYcjd1oEJ7D1QRrjAZzo4e5dGgl21eAPLwzLu7g&#10;pZTMitg8qSELYGAWMBYsl9MIM3Pncm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EhDGMi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290999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290999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25A7" w:rsidRDefault="005D25A7" w:rsidP="006C759E">
      <w:r>
        <w:separator/>
      </w:r>
    </w:p>
  </w:footnote>
  <w:footnote w:type="continuationSeparator" w:id="0">
    <w:p w:rsidR="005D25A7" w:rsidRDefault="005D25A7" w:rsidP="006C75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0999">
    <w:pPr>
      <w:pStyle w:val="BodyText"/>
      <w:spacing w:line="14" w:lineRule="auto"/>
      <w:rPr>
        <w:sz w:val="20"/>
      </w:rPr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06F8209" wp14:editId="60DC71AD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290999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290999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6F820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290999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290999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D84192"/>
    <w:multiLevelType w:val="hybridMultilevel"/>
    <w:tmpl w:val="8424F96C"/>
    <w:lvl w:ilvl="0" w:tplc="8A240F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Tw Cen MT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zdtw5rrvps9wheevzkvrae6f0vwrw0f02ra&quot;&gt;My EndNote Library&lt;record-ids&gt;&lt;item&gt;157&lt;/item&gt;&lt;item&gt;158&lt;/item&gt;&lt;item&gt;159&lt;/item&gt;&lt;item&gt;160&lt;/item&gt;&lt;item&gt;161&lt;/item&gt;&lt;/record-ids&gt;&lt;/item&gt;&lt;/Libraries&gt;"/>
  </w:docVars>
  <w:rsids>
    <w:rsidRoot w:val="006C759E"/>
    <w:rsid w:val="000A4845"/>
    <w:rsid w:val="0011449F"/>
    <w:rsid w:val="00115CBB"/>
    <w:rsid w:val="00127F09"/>
    <w:rsid w:val="002337B6"/>
    <w:rsid w:val="00290999"/>
    <w:rsid w:val="002A4BE2"/>
    <w:rsid w:val="002C3C5C"/>
    <w:rsid w:val="00340961"/>
    <w:rsid w:val="003506F6"/>
    <w:rsid w:val="00436A76"/>
    <w:rsid w:val="004574F0"/>
    <w:rsid w:val="004D19EA"/>
    <w:rsid w:val="00500716"/>
    <w:rsid w:val="00572FBC"/>
    <w:rsid w:val="005D25A7"/>
    <w:rsid w:val="00613E14"/>
    <w:rsid w:val="006B2609"/>
    <w:rsid w:val="006C759E"/>
    <w:rsid w:val="00720DCF"/>
    <w:rsid w:val="008B6BA4"/>
    <w:rsid w:val="0092293E"/>
    <w:rsid w:val="00BC7EB0"/>
    <w:rsid w:val="00C202E1"/>
    <w:rsid w:val="00C7730C"/>
    <w:rsid w:val="00D44B1F"/>
    <w:rsid w:val="00D73497"/>
    <w:rsid w:val="00F40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B1DF0B07-67DB-44F7-8D9F-AA54B7574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6C759E"/>
    <w:pPr>
      <w:widowControl w:val="0"/>
      <w:spacing w:after="0" w:line="240" w:lineRule="auto"/>
    </w:pPr>
    <w:rPr>
      <w:rFonts w:ascii="Tw Cen MT" w:eastAsia="Tw Cen MT" w:hAnsi="Tw Cen MT" w:cs="Tw Cen MT"/>
      <w:lang w:bidi="ar-SA"/>
    </w:rPr>
  </w:style>
  <w:style w:type="paragraph" w:styleId="Heading1">
    <w:name w:val="heading 1"/>
    <w:basedOn w:val="Normal"/>
    <w:link w:val="Heading1Char"/>
    <w:uiPriority w:val="1"/>
    <w:qFormat/>
    <w:rsid w:val="006C759E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1"/>
    <w:qFormat/>
    <w:rsid w:val="006C759E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C759E"/>
    <w:rPr>
      <w:rFonts w:ascii="Minion Pro" w:eastAsia="Minion Pro" w:hAnsi="Minion Pro" w:cs="Minion Pro"/>
      <w:b/>
      <w:bCs/>
      <w:sz w:val="36"/>
      <w:szCs w:val="36"/>
      <w:lang w:bidi="ar-SA"/>
    </w:rPr>
  </w:style>
  <w:style w:type="character" w:customStyle="1" w:styleId="Heading3Char">
    <w:name w:val="Heading 3 Char"/>
    <w:basedOn w:val="DefaultParagraphFont"/>
    <w:link w:val="Heading3"/>
    <w:uiPriority w:val="1"/>
    <w:rsid w:val="006C759E"/>
    <w:rPr>
      <w:rFonts w:ascii="Arial" w:eastAsia="Arial" w:hAnsi="Arial" w:cs="Arial"/>
      <w:b/>
      <w:bCs/>
      <w:sz w:val="20"/>
      <w:szCs w:val="20"/>
      <w:lang w:bidi="ar-SA"/>
    </w:rPr>
  </w:style>
  <w:style w:type="paragraph" w:styleId="BodyText">
    <w:name w:val="Body Text"/>
    <w:basedOn w:val="Normal"/>
    <w:link w:val="BodyTextChar"/>
    <w:uiPriority w:val="1"/>
    <w:qFormat/>
    <w:rsid w:val="006C759E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6C759E"/>
    <w:rPr>
      <w:rFonts w:ascii="Tw Cen MT" w:eastAsia="Tw Cen MT" w:hAnsi="Tw Cen MT" w:cs="Tw Cen MT"/>
      <w:sz w:val="18"/>
      <w:szCs w:val="18"/>
      <w:lang w:bidi="ar-SA"/>
    </w:rPr>
  </w:style>
  <w:style w:type="paragraph" w:styleId="ListParagraph">
    <w:name w:val="List Paragraph"/>
    <w:basedOn w:val="Normal"/>
    <w:uiPriority w:val="34"/>
    <w:qFormat/>
    <w:rsid w:val="006C759E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EndNoteBibliographyTitle">
    <w:name w:val="EndNote Bibliography Title"/>
    <w:basedOn w:val="Normal"/>
    <w:link w:val="EndNoteBibliographyTitleChar"/>
    <w:rsid w:val="006C759E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C759E"/>
    <w:rPr>
      <w:rFonts w:ascii="Tw Cen MT" w:eastAsia="Tw Cen MT" w:hAnsi="Tw Cen MT" w:cs="Tw Cen MT"/>
      <w:noProof/>
      <w:lang w:bidi="ar-SA"/>
    </w:rPr>
  </w:style>
  <w:style w:type="paragraph" w:customStyle="1" w:styleId="EndNoteBibliography">
    <w:name w:val="EndNote Bibliography"/>
    <w:basedOn w:val="Normal"/>
    <w:link w:val="EndNoteBibliographyChar"/>
    <w:rsid w:val="006C759E"/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6C759E"/>
    <w:rPr>
      <w:rFonts w:ascii="Tw Cen MT" w:eastAsia="Tw Cen MT" w:hAnsi="Tw Cen MT" w:cs="Tw Cen MT"/>
      <w:noProof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6C759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759E"/>
    <w:rPr>
      <w:rFonts w:ascii="Tw Cen MT" w:eastAsia="Tw Cen MT" w:hAnsi="Tw Cen MT" w:cs="Tw Cen MT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6C759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759E"/>
    <w:rPr>
      <w:rFonts w:ascii="Tw Cen MT" w:eastAsia="Tw Cen MT" w:hAnsi="Tw Cen MT" w:cs="Tw Cen MT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557</Words>
  <Characters>3180</Characters>
  <Application>Microsoft Office Word</Application>
  <DocSecurity>0</DocSecurity>
  <Lines>26</Lines>
  <Paragraphs>7</Paragraphs>
  <ScaleCrop>false</ScaleCrop>
  <Company/>
  <LinksUpToDate>false</LinksUpToDate>
  <CharactersWithSpaces>3730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HYPER</dc:creator>
  <cp:keywords/>
  <dc:description/>
  <cp:lastModifiedBy>HYPER</cp:lastModifiedBy>
  <cp:revision>3</cp:revision>
  <dcterms:created xsi:type="dcterms:W3CDTF">2018-12-11T06:42:00Z</dcterms:created>
  <dcterms:modified xsi:type="dcterms:W3CDTF">2018-12-11T07:10:00Z</dcterms:modified>
</cp:coreProperties>
</file>