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017821" w14:textId="77777777" w:rsidR="005E1D6E" w:rsidRPr="003D145E" w:rsidRDefault="005E1D6E" w:rsidP="005E1D6E">
      <w:pPr>
        <w:jc w:val="both"/>
        <w:rPr>
          <w:rFonts w:asciiTheme="minorHAnsi" w:hAnsiTheme="minorHAnsi" w:cstheme="minorHAnsi"/>
          <w:b/>
          <w:bCs/>
        </w:rPr>
      </w:pPr>
      <w:r w:rsidRPr="003D145E">
        <w:rPr>
          <w:rFonts w:asciiTheme="minorHAnsi" w:hAnsiTheme="minorHAnsi" w:cstheme="minorHAnsi"/>
          <w:b/>
          <w:bCs/>
        </w:rPr>
        <w:t xml:space="preserve">Factors influencing Test Anxiety in Health Professions Education: </w:t>
      </w:r>
      <w:proofErr w:type="gramStart"/>
      <w:r w:rsidRPr="003D145E">
        <w:rPr>
          <w:rFonts w:asciiTheme="minorHAnsi" w:hAnsiTheme="minorHAnsi" w:cstheme="minorHAnsi"/>
          <w:b/>
          <w:bCs/>
        </w:rPr>
        <w:t>a</w:t>
      </w:r>
      <w:proofErr w:type="gramEnd"/>
      <w:r w:rsidRPr="003D145E">
        <w:rPr>
          <w:rFonts w:asciiTheme="minorHAnsi" w:hAnsiTheme="minorHAnsi" w:cstheme="minorHAnsi"/>
          <w:b/>
          <w:bCs/>
        </w:rPr>
        <w:t xml:space="preserve"> Scoping Review </w:t>
      </w:r>
    </w:p>
    <w:p w14:paraId="179A87AC" w14:textId="77777777" w:rsidR="005E1D6E" w:rsidRDefault="005E1D6E" w:rsidP="005E1D6E">
      <w:pPr>
        <w:spacing w:line="360" w:lineRule="auto"/>
        <w:jc w:val="both"/>
        <w:rPr>
          <w:rFonts w:asciiTheme="minorHAnsi" w:hAnsiTheme="minorHAnsi" w:cstheme="minorHAnsi"/>
          <w:b/>
          <w:bCs/>
        </w:rPr>
      </w:pPr>
    </w:p>
    <w:p w14:paraId="18BDA888" w14:textId="496A8C70" w:rsidR="005E1D6E" w:rsidRPr="00C97882" w:rsidRDefault="005E1D6E" w:rsidP="005E1D6E">
      <w:pPr>
        <w:spacing w:line="360" w:lineRule="auto"/>
        <w:jc w:val="both"/>
        <w:rPr>
          <w:rFonts w:asciiTheme="minorHAnsi" w:hAnsiTheme="minorHAnsi" w:cstheme="minorHAnsi"/>
          <w:b/>
          <w:bCs/>
        </w:rPr>
      </w:pPr>
      <w:r w:rsidRPr="00C97882">
        <w:rPr>
          <w:rFonts w:asciiTheme="minorHAnsi" w:hAnsiTheme="minorHAnsi" w:cstheme="minorHAnsi"/>
          <w:b/>
          <w:bCs/>
        </w:rPr>
        <w:t>Background</w:t>
      </w:r>
    </w:p>
    <w:p w14:paraId="2EAE64FA" w14:textId="78BDA645" w:rsidR="005E1D6E" w:rsidRDefault="005E1D6E" w:rsidP="005E1D6E">
      <w:pPr>
        <w:spacing w:line="360" w:lineRule="auto"/>
        <w:jc w:val="both"/>
        <w:rPr>
          <w:rFonts w:asciiTheme="minorHAnsi" w:hAnsiTheme="minorHAnsi" w:cstheme="minorHAnsi"/>
        </w:rPr>
      </w:pPr>
      <w:r w:rsidRPr="005E1D6E">
        <w:rPr>
          <w:rFonts w:asciiTheme="minorHAnsi" w:hAnsiTheme="minorHAnsi" w:cstheme="minorHAnsi"/>
        </w:rPr>
        <w:t>Test anxiety (TA) impairs the academic performance and well-being of students in health professions education (HPE) and has long-term consequences that persist beyond graduation, jeopardizing patients' access to the best health care. The purpose of this study was to investigate and classify the factors that influence TA among HPE students and provide a rationale for future action.</w:t>
      </w:r>
    </w:p>
    <w:p w14:paraId="132DA29C" w14:textId="016194D7" w:rsidR="005E1D6E" w:rsidRDefault="005E1D6E" w:rsidP="005E1D6E">
      <w:pPr>
        <w:spacing w:line="360" w:lineRule="auto"/>
        <w:jc w:val="both"/>
        <w:rPr>
          <w:rFonts w:asciiTheme="minorHAnsi" w:hAnsiTheme="minorHAnsi" w:cstheme="minorHAnsi"/>
          <w:b/>
          <w:bCs/>
        </w:rPr>
      </w:pPr>
      <w:r>
        <w:rPr>
          <w:rFonts w:asciiTheme="minorHAnsi" w:hAnsiTheme="minorHAnsi" w:cstheme="minorHAnsi"/>
          <w:b/>
          <w:bCs/>
        </w:rPr>
        <w:t>Methods:</w:t>
      </w:r>
    </w:p>
    <w:p w14:paraId="732353E5" w14:textId="4967DCAA" w:rsidR="005E1D6E" w:rsidRDefault="005E1D6E" w:rsidP="005E1D6E">
      <w:pPr>
        <w:spacing w:line="360" w:lineRule="auto"/>
        <w:jc w:val="both"/>
        <w:rPr>
          <w:rFonts w:asciiTheme="minorHAnsi" w:hAnsiTheme="minorHAnsi" w:cstheme="minorHAnsi"/>
        </w:rPr>
      </w:pPr>
      <w:r>
        <w:rPr>
          <w:rFonts w:asciiTheme="minorHAnsi" w:hAnsiTheme="minorHAnsi" w:cstheme="minorHAnsi"/>
        </w:rPr>
        <w:t>A</w:t>
      </w:r>
      <w:r w:rsidRPr="00225DF0">
        <w:rPr>
          <w:rFonts w:asciiTheme="minorHAnsi" w:hAnsiTheme="minorHAnsi" w:cstheme="minorHAnsi"/>
        </w:rPr>
        <w:t xml:space="preserve"> scoping study </w:t>
      </w:r>
      <w:r>
        <w:rPr>
          <w:rFonts w:asciiTheme="minorHAnsi" w:hAnsiTheme="minorHAnsi" w:cstheme="minorHAnsi"/>
        </w:rPr>
        <w:t xml:space="preserve">was conducted </w:t>
      </w:r>
      <w:r w:rsidRPr="00225DF0">
        <w:rPr>
          <w:rFonts w:asciiTheme="minorHAnsi" w:hAnsiTheme="minorHAnsi" w:cstheme="minorHAnsi"/>
        </w:rPr>
        <w:t>using the six electronic databases</w:t>
      </w:r>
      <w:r>
        <w:rPr>
          <w:rFonts w:asciiTheme="minorHAnsi" w:hAnsiTheme="minorHAnsi" w:cstheme="minorHAnsi"/>
        </w:rPr>
        <w:t xml:space="preserve">. </w:t>
      </w:r>
      <w:r>
        <w:rPr>
          <w:rFonts w:asciiTheme="minorHAnsi" w:hAnsiTheme="minorHAnsi" w:cstheme="minorHAnsi"/>
        </w:rPr>
        <w:t xml:space="preserve">The PRISMA chart was used to report the finding. Thematic analysis of the factors was done. </w:t>
      </w:r>
    </w:p>
    <w:p w14:paraId="2D26AD38" w14:textId="0BAFD24C" w:rsidR="005E1D6E" w:rsidRPr="00C97882" w:rsidRDefault="005E1D6E" w:rsidP="005E1D6E">
      <w:pPr>
        <w:spacing w:line="360" w:lineRule="auto"/>
        <w:jc w:val="both"/>
        <w:rPr>
          <w:rFonts w:asciiTheme="minorHAnsi" w:hAnsiTheme="minorHAnsi" w:cstheme="minorHAnsi"/>
          <w:b/>
          <w:bCs/>
        </w:rPr>
      </w:pPr>
      <w:r>
        <w:rPr>
          <w:rFonts w:asciiTheme="minorHAnsi" w:hAnsiTheme="minorHAnsi" w:cstheme="minorHAnsi"/>
          <w:b/>
          <w:bCs/>
        </w:rPr>
        <w:t>Results</w:t>
      </w:r>
    </w:p>
    <w:p w14:paraId="53FCB68E" w14:textId="77777777" w:rsidR="005E1D6E" w:rsidRDefault="005E1D6E" w:rsidP="005E1D6E">
      <w:pPr>
        <w:spacing w:line="360" w:lineRule="auto"/>
        <w:jc w:val="both"/>
        <w:rPr>
          <w:rFonts w:asciiTheme="minorHAnsi" w:hAnsiTheme="minorHAnsi" w:cstheme="minorHAnsi"/>
        </w:rPr>
      </w:pPr>
      <w:r w:rsidRPr="005E1D6E">
        <w:rPr>
          <w:rFonts w:asciiTheme="minorHAnsi" w:hAnsiTheme="minorHAnsi" w:cstheme="minorHAnsi"/>
        </w:rPr>
        <w:t xml:space="preserve">Only 74 out of 995 articles were chosen. The identified factors in each study were classified as either increasing or decreasing TA. There were seven themes that emerged from the factors. Positive and negative associations with TA were found for assessment system, study and learning skills, psychology/cognition, personal characteristics, and supporting and relationship factors. Curriculum overload led to an increase in TA, whereas interventional procedures decreased </w:t>
      </w:r>
      <w:proofErr w:type="spellStart"/>
      <w:r w:rsidRPr="005E1D6E">
        <w:rPr>
          <w:rFonts w:asciiTheme="minorHAnsi" w:hAnsiTheme="minorHAnsi" w:cstheme="minorHAnsi"/>
        </w:rPr>
        <w:t>TA.</w:t>
      </w:r>
    </w:p>
    <w:p w14:paraId="29282503" w14:textId="55B08494" w:rsidR="005E1D6E" w:rsidRPr="00C97882" w:rsidRDefault="005E1D6E" w:rsidP="005E1D6E">
      <w:pPr>
        <w:spacing w:line="360" w:lineRule="auto"/>
        <w:jc w:val="both"/>
        <w:rPr>
          <w:rFonts w:asciiTheme="minorHAnsi" w:hAnsiTheme="minorHAnsi" w:cstheme="minorHAnsi"/>
          <w:b/>
          <w:bCs/>
        </w:rPr>
      </w:pPr>
      <w:proofErr w:type="spellEnd"/>
      <w:r w:rsidRPr="00C97882">
        <w:rPr>
          <w:rFonts w:asciiTheme="minorHAnsi" w:hAnsiTheme="minorHAnsi" w:cstheme="minorHAnsi"/>
          <w:b/>
          <w:bCs/>
        </w:rPr>
        <w:t>Conclusion</w:t>
      </w:r>
      <w:r>
        <w:rPr>
          <w:rFonts w:asciiTheme="minorHAnsi" w:hAnsiTheme="minorHAnsi" w:cstheme="minorHAnsi"/>
          <w:b/>
          <w:bCs/>
        </w:rPr>
        <w:t>:</w:t>
      </w:r>
      <w:r w:rsidRPr="00C97882">
        <w:rPr>
          <w:rFonts w:asciiTheme="minorHAnsi" w:hAnsiTheme="minorHAnsi" w:cstheme="minorHAnsi"/>
          <w:b/>
          <w:bCs/>
        </w:rPr>
        <w:t xml:space="preserve"> </w:t>
      </w:r>
    </w:p>
    <w:p w14:paraId="2C69142C" w14:textId="4E67D0B0" w:rsidR="008A326D" w:rsidRPr="005E1D6E" w:rsidRDefault="005E1D6E" w:rsidP="005E1D6E">
      <w:pPr>
        <w:spacing w:line="360" w:lineRule="auto"/>
        <w:jc w:val="both"/>
        <w:rPr>
          <w:rFonts w:asciiTheme="minorHAnsi" w:hAnsiTheme="minorHAnsi" w:cstheme="minorHAnsi"/>
        </w:rPr>
      </w:pPr>
      <w:bookmarkStart w:id="0" w:name="_GoBack"/>
      <w:r w:rsidRPr="005E1D6E">
        <w:rPr>
          <w:rFonts w:asciiTheme="minorHAnsi" w:hAnsiTheme="minorHAnsi" w:cstheme="minorHAnsi"/>
        </w:rPr>
        <w:t>This scoping review uncovered variables that either increase or decrease test anxiety. Several themes were used to further categorize the identified factors. Various levels of curriculum management in HPE schools could use the themes that emerged to reduce TA.</w:t>
      </w:r>
      <w:bookmarkEnd w:id="0"/>
    </w:p>
    <w:sectPr w:rsidR="008A326D" w:rsidRPr="005E1D6E" w:rsidSect="00ED542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D6E"/>
    <w:rsid w:val="000211B6"/>
    <w:rsid w:val="00032684"/>
    <w:rsid w:val="000458F8"/>
    <w:rsid w:val="0006287D"/>
    <w:rsid w:val="000777AE"/>
    <w:rsid w:val="000B3AE3"/>
    <w:rsid w:val="00123119"/>
    <w:rsid w:val="00165ADA"/>
    <w:rsid w:val="001862A0"/>
    <w:rsid w:val="001D17B0"/>
    <w:rsid w:val="0021266C"/>
    <w:rsid w:val="00251C3C"/>
    <w:rsid w:val="002625BD"/>
    <w:rsid w:val="002726EB"/>
    <w:rsid w:val="002A5ED4"/>
    <w:rsid w:val="002C563C"/>
    <w:rsid w:val="00336A11"/>
    <w:rsid w:val="00351B82"/>
    <w:rsid w:val="003532A6"/>
    <w:rsid w:val="00362A87"/>
    <w:rsid w:val="004329C4"/>
    <w:rsid w:val="00447BCF"/>
    <w:rsid w:val="004E2055"/>
    <w:rsid w:val="004F1669"/>
    <w:rsid w:val="00501A48"/>
    <w:rsid w:val="00574C6D"/>
    <w:rsid w:val="00594A88"/>
    <w:rsid w:val="005D6E3A"/>
    <w:rsid w:val="005E1D6E"/>
    <w:rsid w:val="00603C3B"/>
    <w:rsid w:val="006111FF"/>
    <w:rsid w:val="006150F9"/>
    <w:rsid w:val="0063069B"/>
    <w:rsid w:val="00632583"/>
    <w:rsid w:val="0069605E"/>
    <w:rsid w:val="006A524A"/>
    <w:rsid w:val="006C31AA"/>
    <w:rsid w:val="006D2A40"/>
    <w:rsid w:val="006E303F"/>
    <w:rsid w:val="006E40B9"/>
    <w:rsid w:val="007028D4"/>
    <w:rsid w:val="00725322"/>
    <w:rsid w:val="00774B52"/>
    <w:rsid w:val="007A7695"/>
    <w:rsid w:val="007D04C1"/>
    <w:rsid w:val="007D305D"/>
    <w:rsid w:val="007D5385"/>
    <w:rsid w:val="007D5E0A"/>
    <w:rsid w:val="007E1733"/>
    <w:rsid w:val="007E1735"/>
    <w:rsid w:val="007F7DC0"/>
    <w:rsid w:val="00824D89"/>
    <w:rsid w:val="0087349D"/>
    <w:rsid w:val="008906D4"/>
    <w:rsid w:val="008A326D"/>
    <w:rsid w:val="008A43E9"/>
    <w:rsid w:val="00937929"/>
    <w:rsid w:val="00965B83"/>
    <w:rsid w:val="009764B4"/>
    <w:rsid w:val="009E2ADC"/>
    <w:rsid w:val="009F2700"/>
    <w:rsid w:val="009F418F"/>
    <w:rsid w:val="00A012A6"/>
    <w:rsid w:val="00A61CA9"/>
    <w:rsid w:val="00AF4513"/>
    <w:rsid w:val="00AF76EF"/>
    <w:rsid w:val="00B15216"/>
    <w:rsid w:val="00B431AF"/>
    <w:rsid w:val="00BA4A86"/>
    <w:rsid w:val="00BD4B72"/>
    <w:rsid w:val="00BE2C03"/>
    <w:rsid w:val="00C36B48"/>
    <w:rsid w:val="00CD5C15"/>
    <w:rsid w:val="00CD7815"/>
    <w:rsid w:val="00D27604"/>
    <w:rsid w:val="00D33121"/>
    <w:rsid w:val="00D45A0A"/>
    <w:rsid w:val="00D50EA5"/>
    <w:rsid w:val="00D54734"/>
    <w:rsid w:val="00D84A94"/>
    <w:rsid w:val="00DD622D"/>
    <w:rsid w:val="00E21CBE"/>
    <w:rsid w:val="00E426B1"/>
    <w:rsid w:val="00E8606E"/>
    <w:rsid w:val="00EC7950"/>
    <w:rsid w:val="00ED5423"/>
    <w:rsid w:val="00F63237"/>
    <w:rsid w:val="00F7545F"/>
    <w:rsid w:val="00FA1D5C"/>
    <w:rsid w:val="00FA59F2"/>
    <w:rsid w:val="00FB13D8"/>
    <w:rsid w:val="00FC1F9E"/>
    <w:rsid w:val="00FD26DF"/>
    <w:rsid w:val="00FF55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0A66414"/>
  <w15:chartTrackingRefBased/>
  <w15:docId w15:val="{7DD26759-5A8A-FA41-90B0-A3A649092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D6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ماجد محمد صالح وادي</dc:creator>
  <cp:keywords/>
  <dc:description/>
  <cp:lastModifiedBy>ماجد محمد صالح وادي</cp:lastModifiedBy>
  <cp:revision>1</cp:revision>
  <dcterms:created xsi:type="dcterms:W3CDTF">2022-05-30T09:34:00Z</dcterms:created>
  <dcterms:modified xsi:type="dcterms:W3CDTF">2022-05-30T09:39:00Z</dcterms:modified>
</cp:coreProperties>
</file>