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5191DA" w14:textId="5A22079C" w:rsidR="00E12976" w:rsidRPr="00E84697" w:rsidRDefault="00E12976" w:rsidP="00E84697">
      <w:pPr>
        <w:spacing w:line="276" w:lineRule="auto"/>
        <w:jc w:val="both"/>
        <w:rPr>
          <w:rFonts w:cstheme="minorHAnsi"/>
          <w:b/>
          <w:bCs/>
          <w:sz w:val="28"/>
          <w:szCs w:val="28"/>
        </w:rPr>
      </w:pPr>
      <w:r w:rsidRPr="00E84697">
        <w:rPr>
          <w:rFonts w:cstheme="minorHAnsi"/>
          <w:b/>
          <w:bCs/>
          <w:sz w:val="28"/>
          <w:szCs w:val="28"/>
        </w:rPr>
        <w:t xml:space="preserve">Student Perception of VPL as a Learning Tool </w:t>
      </w:r>
    </w:p>
    <w:p w14:paraId="668AC86E" w14:textId="09D4E41F" w:rsidR="00E12976" w:rsidRPr="00E84697" w:rsidRDefault="00E12976" w:rsidP="00E84697">
      <w:pPr>
        <w:spacing w:line="276" w:lineRule="auto"/>
        <w:jc w:val="both"/>
        <w:rPr>
          <w:bCs/>
          <w:sz w:val="28"/>
          <w:szCs w:val="28"/>
        </w:rPr>
      </w:pPr>
      <w:r w:rsidRPr="00E84697">
        <w:rPr>
          <w:rFonts w:cstheme="minorHAnsi"/>
          <w:sz w:val="28"/>
          <w:szCs w:val="28"/>
        </w:rPr>
        <w:t>Naail Mohammed Ghazi</w:t>
      </w:r>
      <w:r w:rsidRPr="00E84697">
        <w:rPr>
          <w:rFonts w:cstheme="minorHAnsi"/>
          <w:sz w:val="28"/>
          <w:szCs w:val="28"/>
          <w:vertAlign w:val="superscript"/>
        </w:rPr>
        <w:t>1</w:t>
      </w:r>
      <w:r w:rsidRPr="00E84697">
        <w:rPr>
          <w:rFonts w:cstheme="minorHAnsi"/>
          <w:sz w:val="28"/>
          <w:szCs w:val="28"/>
        </w:rPr>
        <w:t>, Sneha Venkataramani</w:t>
      </w:r>
      <w:r w:rsidRPr="00E84697">
        <w:rPr>
          <w:rFonts w:cstheme="minorHAnsi"/>
          <w:sz w:val="28"/>
          <w:szCs w:val="28"/>
          <w:vertAlign w:val="superscript"/>
        </w:rPr>
        <w:t>1</w:t>
      </w:r>
      <w:r w:rsidRPr="00E84697">
        <w:rPr>
          <w:rFonts w:cstheme="minorHAnsi"/>
          <w:sz w:val="28"/>
          <w:szCs w:val="28"/>
        </w:rPr>
        <w:t>, Sara Syed Taha</w:t>
      </w:r>
      <w:r w:rsidRPr="00E84697">
        <w:rPr>
          <w:rFonts w:cstheme="minorHAnsi"/>
          <w:sz w:val="28"/>
          <w:szCs w:val="28"/>
          <w:vertAlign w:val="superscript"/>
        </w:rPr>
        <w:t>1</w:t>
      </w:r>
      <w:r w:rsidRPr="00E84697">
        <w:rPr>
          <w:rFonts w:cstheme="minorHAnsi"/>
          <w:sz w:val="28"/>
          <w:szCs w:val="28"/>
        </w:rPr>
        <w:t xml:space="preserve">, Sofia </w:t>
      </w:r>
      <w:r w:rsidR="00E84697">
        <w:rPr>
          <w:rFonts w:cstheme="minorHAnsi"/>
          <w:sz w:val="28"/>
          <w:szCs w:val="28"/>
        </w:rPr>
        <w:t xml:space="preserve">Ahmed </w:t>
      </w:r>
      <w:r w:rsidRPr="00E84697">
        <w:rPr>
          <w:rFonts w:cstheme="minorHAnsi"/>
          <w:sz w:val="28"/>
          <w:szCs w:val="28"/>
        </w:rPr>
        <w:t>Saleh Alkhatibi Alfalasi</w:t>
      </w:r>
      <w:r w:rsidRPr="00E84697">
        <w:rPr>
          <w:rFonts w:cstheme="minorHAnsi"/>
          <w:sz w:val="28"/>
          <w:szCs w:val="28"/>
          <w:vertAlign w:val="superscript"/>
        </w:rPr>
        <w:t>1</w:t>
      </w:r>
      <w:r w:rsidRPr="00E84697">
        <w:rPr>
          <w:rFonts w:cstheme="minorHAnsi"/>
          <w:sz w:val="28"/>
          <w:szCs w:val="28"/>
        </w:rPr>
        <w:t>, Noha Kamal Abdelmomen</w:t>
      </w:r>
      <w:r w:rsidRPr="00E84697">
        <w:rPr>
          <w:rFonts w:cstheme="minorHAnsi"/>
          <w:sz w:val="28"/>
          <w:szCs w:val="28"/>
          <w:vertAlign w:val="superscript"/>
        </w:rPr>
        <w:t>1</w:t>
      </w:r>
      <w:r w:rsidRPr="00E84697">
        <w:rPr>
          <w:rFonts w:cstheme="minorHAnsi"/>
          <w:sz w:val="28"/>
          <w:szCs w:val="28"/>
        </w:rPr>
        <w:t xml:space="preserve">, </w:t>
      </w:r>
      <w:r w:rsidRPr="00E84697">
        <w:rPr>
          <w:bCs/>
          <w:sz w:val="28"/>
          <w:szCs w:val="28"/>
        </w:rPr>
        <w:t>Shatha</w:t>
      </w:r>
      <w:r w:rsidRPr="00E84697">
        <w:rPr>
          <w:bCs/>
          <w:spacing w:val="8"/>
          <w:sz w:val="28"/>
          <w:szCs w:val="28"/>
        </w:rPr>
        <w:t xml:space="preserve"> </w:t>
      </w:r>
      <w:r w:rsidRPr="00E84697">
        <w:rPr>
          <w:bCs/>
          <w:sz w:val="28"/>
          <w:szCs w:val="28"/>
        </w:rPr>
        <w:t>Saeed</w:t>
      </w:r>
      <w:r w:rsidRPr="00E84697">
        <w:rPr>
          <w:bCs/>
          <w:spacing w:val="8"/>
          <w:sz w:val="28"/>
          <w:szCs w:val="28"/>
        </w:rPr>
        <w:t xml:space="preserve"> </w:t>
      </w:r>
      <w:r w:rsidRPr="00E84697">
        <w:rPr>
          <w:bCs/>
          <w:sz w:val="28"/>
          <w:szCs w:val="28"/>
        </w:rPr>
        <w:t>Hamed</w:t>
      </w:r>
      <w:r w:rsidRPr="00E84697">
        <w:rPr>
          <w:bCs/>
          <w:spacing w:val="8"/>
          <w:sz w:val="28"/>
          <w:szCs w:val="28"/>
        </w:rPr>
        <w:t xml:space="preserve"> </w:t>
      </w:r>
      <w:r w:rsidRPr="00E84697">
        <w:rPr>
          <w:bCs/>
          <w:sz w:val="28"/>
          <w:szCs w:val="28"/>
        </w:rPr>
        <w:t>Al</w:t>
      </w:r>
      <w:r w:rsidRPr="00E84697">
        <w:rPr>
          <w:bCs/>
          <w:spacing w:val="8"/>
          <w:sz w:val="28"/>
          <w:szCs w:val="28"/>
        </w:rPr>
        <w:t xml:space="preserve"> </w:t>
      </w:r>
      <w:r w:rsidRPr="00E84697">
        <w:rPr>
          <w:bCs/>
          <w:sz w:val="28"/>
          <w:szCs w:val="28"/>
        </w:rPr>
        <w:t>Sharbatti</w:t>
      </w:r>
      <w:r w:rsidRPr="00E84697">
        <w:rPr>
          <w:bCs/>
          <w:sz w:val="28"/>
          <w:szCs w:val="28"/>
          <w:vertAlign w:val="superscript"/>
        </w:rPr>
        <w:t>1</w:t>
      </w:r>
    </w:p>
    <w:p w14:paraId="07398E7C" w14:textId="5C027B72" w:rsidR="00E12976" w:rsidRPr="00E84697" w:rsidRDefault="00E12976" w:rsidP="00E84697">
      <w:pPr>
        <w:spacing w:line="276" w:lineRule="auto"/>
        <w:jc w:val="both"/>
        <w:rPr>
          <w:rFonts w:cstheme="minorHAnsi"/>
          <w:sz w:val="28"/>
          <w:szCs w:val="28"/>
        </w:rPr>
      </w:pPr>
      <w:r w:rsidRPr="00E84697">
        <w:rPr>
          <w:rFonts w:cstheme="minorHAnsi"/>
          <w:sz w:val="28"/>
          <w:szCs w:val="28"/>
          <w:vertAlign w:val="superscript"/>
        </w:rPr>
        <w:t>1</w:t>
      </w:r>
      <w:r w:rsidRPr="00E84697">
        <w:rPr>
          <w:rFonts w:cstheme="minorHAnsi"/>
          <w:sz w:val="28"/>
          <w:szCs w:val="28"/>
        </w:rPr>
        <w:t>Gulf Medical University, Ajman</w:t>
      </w:r>
      <w:r w:rsidR="00C96C95">
        <w:rPr>
          <w:rFonts w:cstheme="minorHAnsi"/>
          <w:sz w:val="28"/>
          <w:szCs w:val="28"/>
        </w:rPr>
        <w:t>, United Arab Emirates</w:t>
      </w:r>
    </w:p>
    <w:p w14:paraId="4C31734F" w14:textId="3DDA789A" w:rsidR="00F21D43" w:rsidRPr="00E84697" w:rsidRDefault="00F21D43" w:rsidP="00E84697">
      <w:pPr>
        <w:spacing w:line="276" w:lineRule="auto"/>
        <w:jc w:val="both"/>
        <w:rPr>
          <w:rFonts w:cstheme="minorHAnsi"/>
          <w:sz w:val="28"/>
          <w:szCs w:val="28"/>
        </w:rPr>
      </w:pPr>
      <w:r w:rsidRPr="00E84697">
        <w:rPr>
          <w:rFonts w:cstheme="minorHAnsi"/>
          <w:b/>
          <w:bCs/>
          <w:sz w:val="28"/>
          <w:szCs w:val="28"/>
        </w:rPr>
        <w:t>Introduction</w:t>
      </w:r>
      <w:r w:rsidRPr="00E84697">
        <w:rPr>
          <w:rFonts w:cstheme="minorHAnsi"/>
          <w:sz w:val="28"/>
          <w:szCs w:val="28"/>
        </w:rPr>
        <w:t>: As a result of the mandatory lockdowns and increased infection risk due to the COVID-19 pandemic, medical students faced issues with regards to clinical training. Virtual simulation like Virtual Patient Learning (VPL) platforms allow for medical students to learn in a life-like situation. Given the advantages of VPL, we wish to understand the medical student perceptions of VPL as a learning tool.</w:t>
      </w:r>
    </w:p>
    <w:p w14:paraId="5757DF27" w14:textId="6118B9BA" w:rsidR="00E84697" w:rsidRPr="00E84697" w:rsidRDefault="00F21D43" w:rsidP="00E84697">
      <w:pPr>
        <w:autoSpaceDE w:val="0"/>
        <w:autoSpaceDN w:val="0"/>
        <w:adjustRightInd w:val="0"/>
        <w:spacing w:after="0" w:line="276" w:lineRule="auto"/>
        <w:jc w:val="both"/>
        <w:rPr>
          <w:rFonts w:cstheme="minorHAnsi"/>
          <w:sz w:val="28"/>
          <w:szCs w:val="28"/>
        </w:rPr>
      </w:pPr>
      <w:r w:rsidRPr="00E84697">
        <w:rPr>
          <w:rFonts w:cstheme="minorHAnsi"/>
          <w:b/>
          <w:bCs/>
          <w:sz w:val="28"/>
          <w:szCs w:val="28"/>
        </w:rPr>
        <w:t>Materials and Methods</w:t>
      </w:r>
      <w:r w:rsidRPr="00E84697">
        <w:rPr>
          <w:rFonts w:cstheme="minorHAnsi"/>
          <w:sz w:val="28"/>
          <w:szCs w:val="28"/>
        </w:rPr>
        <w:t xml:space="preserve">: A pilot study was conducted which involved distribution of a self-administered, validated questionnaire among Phase 2 (years 2 and 3) and Phase 3 (year 4) medical students. </w:t>
      </w:r>
      <w:r w:rsidR="00E84697">
        <w:rPr>
          <w:rFonts w:cstheme="minorHAnsi"/>
          <w:sz w:val="28"/>
          <w:szCs w:val="28"/>
        </w:rPr>
        <w:t xml:space="preserve"> </w:t>
      </w:r>
      <w:r w:rsidRPr="00E84697">
        <w:rPr>
          <w:rFonts w:cstheme="minorHAnsi"/>
          <w:sz w:val="28"/>
          <w:szCs w:val="28"/>
        </w:rPr>
        <w:t>The data was analyzed using IBM SPSS version 27. The Chi-square test/ Fisher's Exact tests were used to assess the association between the perception of students and selected factors.</w:t>
      </w:r>
    </w:p>
    <w:p w14:paraId="3CEB7237" w14:textId="77777777" w:rsidR="00F21D43" w:rsidRPr="00E84697" w:rsidRDefault="00F21D43" w:rsidP="00E84697">
      <w:pPr>
        <w:spacing w:line="276" w:lineRule="auto"/>
        <w:jc w:val="both"/>
        <w:rPr>
          <w:rFonts w:cstheme="minorHAnsi"/>
          <w:sz w:val="28"/>
          <w:szCs w:val="28"/>
        </w:rPr>
      </w:pPr>
      <w:r w:rsidRPr="00E84697">
        <w:rPr>
          <w:rFonts w:cstheme="minorHAnsi"/>
          <w:b/>
          <w:bCs/>
          <w:sz w:val="28"/>
          <w:szCs w:val="28"/>
        </w:rPr>
        <w:t>Results</w:t>
      </w:r>
      <w:r w:rsidRPr="00E84697">
        <w:rPr>
          <w:rFonts w:cstheme="minorHAnsi"/>
          <w:sz w:val="28"/>
          <w:szCs w:val="28"/>
        </w:rPr>
        <w:t xml:space="preserve">: Most of the respondents (n=87) were females (69.5%, n=66), equal to or above the age of 20 (63.2%, n=60) and in Phase II (73.7%, n=70). Among the respondents, the percentage of participants who agreed on the importance of VPL for building knowledge, improving clinical reasoning and communication skills were 98%, 99%, and 96% respectively. No significant association was found between age, gender, phase of study in relation to the aforementioned domains (p&gt;0.05 for the three variables). </w:t>
      </w:r>
    </w:p>
    <w:p w14:paraId="2F896C04" w14:textId="77777777" w:rsidR="00F21D43" w:rsidRPr="00E84697" w:rsidRDefault="00F21D43" w:rsidP="00E84697">
      <w:pPr>
        <w:spacing w:line="276" w:lineRule="auto"/>
        <w:jc w:val="both"/>
        <w:rPr>
          <w:rFonts w:cstheme="minorHAnsi"/>
          <w:sz w:val="28"/>
          <w:szCs w:val="28"/>
        </w:rPr>
      </w:pPr>
      <w:r w:rsidRPr="00E84697">
        <w:rPr>
          <w:rFonts w:cstheme="minorHAnsi"/>
          <w:b/>
          <w:bCs/>
          <w:sz w:val="28"/>
          <w:szCs w:val="28"/>
        </w:rPr>
        <w:t>Conclusions</w:t>
      </w:r>
      <w:r w:rsidRPr="00E84697">
        <w:rPr>
          <w:rFonts w:cstheme="minorHAnsi"/>
          <w:sz w:val="28"/>
          <w:szCs w:val="28"/>
        </w:rPr>
        <w:t>: Most participants have a positive perception of VPL as a learning tool. Based on this study, VPL can be used in support of medical students' clinical reasoning and communication skills in a safe learning environment.</w:t>
      </w:r>
    </w:p>
    <w:p w14:paraId="4601AC98" w14:textId="7D962DBD" w:rsidR="00F21D43" w:rsidRPr="00E84697" w:rsidRDefault="00F21D43" w:rsidP="00E84697">
      <w:pPr>
        <w:spacing w:line="276" w:lineRule="auto"/>
        <w:jc w:val="both"/>
        <w:rPr>
          <w:rFonts w:cstheme="minorHAnsi"/>
          <w:sz w:val="28"/>
          <w:szCs w:val="28"/>
        </w:rPr>
      </w:pPr>
      <w:r w:rsidRPr="00E84697">
        <w:rPr>
          <w:rFonts w:cstheme="minorHAnsi"/>
          <w:b/>
          <w:bCs/>
          <w:sz w:val="28"/>
          <w:szCs w:val="28"/>
        </w:rPr>
        <w:t>Biography</w:t>
      </w:r>
      <w:r w:rsidRPr="00E84697">
        <w:rPr>
          <w:rFonts w:cstheme="minorHAnsi"/>
          <w:sz w:val="28"/>
          <w:szCs w:val="28"/>
        </w:rPr>
        <w:t>: Naail Mohammed Ghazi, Sneha Venkataramani, Sara Syed Taha and Sofia Saleh Alkhatibi Alfalasi are 4</w:t>
      </w:r>
      <w:r w:rsidRPr="00E84697">
        <w:rPr>
          <w:rFonts w:cstheme="minorHAnsi"/>
          <w:sz w:val="28"/>
          <w:szCs w:val="28"/>
          <w:vertAlign w:val="superscript"/>
        </w:rPr>
        <w:t>th</w:t>
      </w:r>
      <w:r w:rsidRPr="00E84697">
        <w:rPr>
          <w:rFonts w:cstheme="minorHAnsi"/>
          <w:sz w:val="28"/>
          <w:szCs w:val="28"/>
        </w:rPr>
        <w:t xml:space="preserve"> year medical students at Gulf Medical University, Ajman, as a part of a 5-year program. </w:t>
      </w:r>
      <w:r w:rsidR="00F55B60" w:rsidRPr="00E84697">
        <w:rPr>
          <w:rFonts w:cstheme="minorHAnsi"/>
          <w:sz w:val="28"/>
          <w:szCs w:val="28"/>
        </w:rPr>
        <w:t xml:space="preserve">Dr Noha Kamal Abdelmomen is an assistant professor of Clinical and Chemical Pathology at the department of </w:t>
      </w:r>
      <w:r w:rsidR="00F55B60" w:rsidRPr="00E84697">
        <w:rPr>
          <w:rFonts w:cstheme="minorHAnsi"/>
          <w:sz w:val="28"/>
          <w:szCs w:val="28"/>
        </w:rPr>
        <w:lastRenderedPageBreak/>
        <w:t>Biomedical Sciences at Gulf Medical University. Prof. Shatha Saeed Hamed Al Sharbatti is a professor and HOD of the department of Community Medicine at Gulf Medical Universit</w:t>
      </w:r>
      <w:r w:rsidR="00E84697">
        <w:rPr>
          <w:rFonts w:cstheme="minorHAnsi"/>
          <w:sz w:val="28"/>
          <w:szCs w:val="28"/>
        </w:rPr>
        <w:t>y</w:t>
      </w:r>
      <w:r w:rsidR="00F55B60" w:rsidRPr="00E84697">
        <w:rPr>
          <w:rFonts w:cstheme="minorHAnsi"/>
          <w:sz w:val="28"/>
          <w:szCs w:val="28"/>
        </w:rPr>
        <w:t>.</w:t>
      </w:r>
    </w:p>
    <w:p w14:paraId="3FA429E3" w14:textId="27F24F80" w:rsidR="00E84697" w:rsidRPr="00E84697" w:rsidRDefault="00F21D43" w:rsidP="00E84697">
      <w:pPr>
        <w:pStyle w:val="BodyText"/>
        <w:spacing w:line="276" w:lineRule="auto"/>
        <w:jc w:val="both"/>
        <w:rPr>
          <w:rFonts w:asciiTheme="minorHAnsi" w:hAnsiTheme="minorHAnsi" w:cstheme="minorHAnsi"/>
          <w:sz w:val="28"/>
          <w:szCs w:val="28"/>
        </w:rPr>
      </w:pPr>
      <w:r w:rsidRPr="00E84697">
        <w:rPr>
          <w:rFonts w:asciiTheme="minorHAnsi" w:hAnsiTheme="minorHAnsi" w:cstheme="minorHAnsi"/>
          <w:b/>
          <w:bCs/>
          <w:sz w:val="28"/>
          <w:szCs w:val="28"/>
        </w:rPr>
        <w:t>About research topic</w:t>
      </w:r>
      <w:r w:rsidRPr="00E84697">
        <w:rPr>
          <w:rFonts w:asciiTheme="minorHAnsi" w:hAnsiTheme="minorHAnsi" w:cstheme="minorHAnsi"/>
          <w:sz w:val="28"/>
          <w:szCs w:val="28"/>
        </w:rPr>
        <w:t>: Virtual patient learning (VPL), is a high-fidelity online simulation system, that allows for simulation of real-life clinical scenarios. VPL</w:t>
      </w:r>
      <w:r w:rsidRPr="00E84697">
        <w:rPr>
          <w:rFonts w:asciiTheme="minorHAnsi" w:hAnsiTheme="minorHAnsi" w:cstheme="minorHAnsi"/>
          <w:spacing w:val="-13"/>
          <w:sz w:val="28"/>
          <w:szCs w:val="28"/>
        </w:rPr>
        <w:t xml:space="preserve"> </w:t>
      </w:r>
      <w:r w:rsidRPr="00E84697">
        <w:rPr>
          <w:rFonts w:asciiTheme="minorHAnsi" w:hAnsiTheme="minorHAnsi" w:cstheme="minorHAnsi"/>
          <w:sz w:val="28"/>
          <w:szCs w:val="28"/>
        </w:rPr>
        <w:t>simulates</w:t>
      </w:r>
      <w:r w:rsidRPr="00E84697">
        <w:rPr>
          <w:rFonts w:asciiTheme="minorHAnsi" w:hAnsiTheme="minorHAnsi" w:cstheme="minorHAnsi"/>
          <w:spacing w:val="-12"/>
          <w:sz w:val="28"/>
          <w:szCs w:val="28"/>
        </w:rPr>
        <w:t xml:space="preserve"> </w:t>
      </w:r>
      <w:r w:rsidRPr="00E84697">
        <w:rPr>
          <w:rFonts w:asciiTheme="minorHAnsi" w:hAnsiTheme="minorHAnsi" w:cstheme="minorHAnsi"/>
          <w:sz w:val="28"/>
          <w:szCs w:val="28"/>
        </w:rPr>
        <w:t>real</w:t>
      </w:r>
      <w:r w:rsidRPr="00E84697">
        <w:rPr>
          <w:rFonts w:asciiTheme="minorHAnsi" w:hAnsiTheme="minorHAnsi" w:cstheme="minorHAnsi"/>
          <w:spacing w:val="-13"/>
          <w:sz w:val="28"/>
          <w:szCs w:val="28"/>
        </w:rPr>
        <w:t xml:space="preserve"> </w:t>
      </w:r>
      <w:r w:rsidRPr="00E84697">
        <w:rPr>
          <w:rFonts w:asciiTheme="minorHAnsi" w:hAnsiTheme="minorHAnsi" w:cstheme="minorHAnsi"/>
          <w:sz w:val="28"/>
          <w:szCs w:val="28"/>
        </w:rPr>
        <w:t>life</w:t>
      </w:r>
      <w:r w:rsidRPr="00E84697">
        <w:rPr>
          <w:rFonts w:asciiTheme="minorHAnsi" w:hAnsiTheme="minorHAnsi" w:cstheme="minorHAnsi"/>
          <w:spacing w:val="-13"/>
          <w:sz w:val="28"/>
          <w:szCs w:val="28"/>
        </w:rPr>
        <w:t xml:space="preserve"> </w:t>
      </w:r>
      <w:r w:rsidRPr="00E84697">
        <w:rPr>
          <w:rFonts w:asciiTheme="minorHAnsi" w:hAnsiTheme="minorHAnsi" w:cstheme="minorHAnsi"/>
          <w:sz w:val="28"/>
          <w:szCs w:val="28"/>
        </w:rPr>
        <w:t>clinical</w:t>
      </w:r>
      <w:r w:rsidRPr="00E84697">
        <w:rPr>
          <w:rFonts w:asciiTheme="minorHAnsi" w:hAnsiTheme="minorHAnsi" w:cstheme="minorHAnsi"/>
          <w:spacing w:val="-13"/>
          <w:sz w:val="28"/>
          <w:szCs w:val="28"/>
        </w:rPr>
        <w:t xml:space="preserve"> </w:t>
      </w:r>
      <w:r w:rsidRPr="00E84697">
        <w:rPr>
          <w:rFonts w:asciiTheme="minorHAnsi" w:hAnsiTheme="minorHAnsi" w:cstheme="minorHAnsi"/>
          <w:sz w:val="28"/>
          <w:szCs w:val="28"/>
        </w:rPr>
        <w:t>scenarios,</w:t>
      </w:r>
      <w:r w:rsidRPr="00E84697">
        <w:rPr>
          <w:rFonts w:asciiTheme="minorHAnsi" w:hAnsiTheme="minorHAnsi" w:cstheme="minorHAnsi"/>
          <w:spacing w:val="-12"/>
          <w:sz w:val="28"/>
          <w:szCs w:val="28"/>
        </w:rPr>
        <w:t xml:space="preserve"> </w:t>
      </w:r>
      <w:r w:rsidRPr="00E84697">
        <w:rPr>
          <w:rFonts w:asciiTheme="minorHAnsi" w:hAnsiTheme="minorHAnsi" w:cstheme="minorHAnsi"/>
          <w:sz w:val="28"/>
          <w:szCs w:val="28"/>
        </w:rPr>
        <w:t>wherein</w:t>
      </w:r>
      <w:r w:rsidRPr="00E84697">
        <w:rPr>
          <w:rFonts w:asciiTheme="minorHAnsi" w:hAnsiTheme="minorHAnsi" w:cstheme="minorHAnsi"/>
          <w:spacing w:val="-13"/>
          <w:sz w:val="28"/>
          <w:szCs w:val="28"/>
        </w:rPr>
        <w:t xml:space="preserve"> </w:t>
      </w:r>
      <w:r w:rsidRPr="00E84697">
        <w:rPr>
          <w:rFonts w:asciiTheme="minorHAnsi" w:hAnsiTheme="minorHAnsi" w:cstheme="minorHAnsi"/>
          <w:sz w:val="28"/>
          <w:szCs w:val="28"/>
        </w:rPr>
        <w:t>students</w:t>
      </w:r>
      <w:r w:rsidRPr="00E84697">
        <w:rPr>
          <w:rFonts w:asciiTheme="minorHAnsi" w:hAnsiTheme="minorHAnsi" w:cstheme="minorHAnsi"/>
          <w:spacing w:val="-13"/>
          <w:sz w:val="28"/>
          <w:szCs w:val="28"/>
        </w:rPr>
        <w:t xml:space="preserve"> </w:t>
      </w:r>
      <w:r w:rsidRPr="00E84697">
        <w:rPr>
          <w:rFonts w:asciiTheme="minorHAnsi" w:hAnsiTheme="minorHAnsi" w:cstheme="minorHAnsi"/>
          <w:sz w:val="28"/>
          <w:szCs w:val="28"/>
        </w:rPr>
        <w:t>emulate</w:t>
      </w:r>
      <w:r w:rsidRPr="00E84697">
        <w:rPr>
          <w:rFonts w:asciiTheme="minorHAnsi" w:hAnsiTheme="minorHAnsi" w:cstheme="minorHAnsi"/>
          <w:spacing w:val="-13"/>
          <w:sz w:val="28"/>
          <w:szCs w:val="28"/>
        </w:rPr>
        <w:t xml:space="preserve"> </w:t>
      </w:r>
      <w:r w:rsidRPr="00E84697">
        <w:rPr>
          <w:rFonts w:asciiTheme="minorHAnsi" w:hAnsiTheme="minorHAnsi" w:cstheme="minorHAnsi"/>
          <w:sz w:val="28"/>
          <w:szCs w:val="28"/>
        </w:rPr>
        <w:t>the</w:t>
      </w:r>
      <w:r w:rsidRPr="00E84697">
        <w:rPr>
          <w:rFonts w:asciiTheme="minorHAnsi" w:hAnsiTheme="minorHAnsi" w:cstheme="minorHAnsi"/>
          <w:spacing w:val="-12"/>
          <w:sz w:val="28"/>
          <w:szCs w:val="28"/>
        </w:rPr>
        <w:t xml:space="preserve"> </w:t>
      </w:r>
      <w:r w:rsidRPr="00E84697">
        <w:rPr>
          <w:rFonts w:asciiTheme="minorHAnsi" w:hAnsiTheme="minorHAnsi" w:cstheme="minorHAnsi"/>
          <w:sz w:val="28"/>
          <w:szCs w:val="28"/>
        </w:rPr>
        <w:t>role of a physician and manage the virtual patient. By exposing the student to simulated scenarios, students</w:t>
      </w:r>
      <w:r w:rsidRPr="00E84697">
        <w:rPr>
          <w:rFonts w:asciiTheme="minorHAnsi" w:hAnsiTheme="minorHAnsi" w:cstheme="minorHAnsi"/>
          <w:spacing w:val="-9"/>
          <w:sz w:val="28"/>
          <w:szCs w:val="28"/>
        </w:rPr>
        <w:t xml:space="preserve"> </w:t>
      </w:r>
      <w:r w:rsidRPr="00E84697">
        <w:rPr>
          <w:rFonts w:asciiTheme="minorHAnsi" w:hAnsiTheme="minorHAnsi" w:cstheme="minorHAnsi"/>
          <w:sz w:val="28"/>
          <w:szCs w:val="28"/>
        </w:rPr>
        <w:t>are</w:t>
      </w:r>
      <w:r w:rsidRPr="00E84697">
        <w:rPr>
          <w:rFonts w:asciiTheme="minorHAnsi" w:hAnsiTheme="minorHAnsi" w:cstheme="minorHAnsi"/>
          <w:spacing w:val="-9"/>
          <w:sz w:val="28"/>
          <w:szCs w:val="28"/>
        </w:rPr>
        <w:t xml:space="preserve"> </w:t>
      </w:r>
      <w:r w:rsidRPr="00E84697">
        <w:rPr>
          <w:rFonts w:asciiTheme="minorHAnsi" w:hAnsiTheme="minorHAnsi" w:cstheme="minorHAnsi"/>
          <w:sz w:val="28"/>
          <w:szCs w:val="28"/>
        </w:rPr>
        <w:t>able</w:t>
      </w:r>
      <w:r w:rsidRPr="00E84697">
        <w:rPr>
          <w:rFonts w:asciiTheme="minorHAnsi" w:hAnsiTheme="minorHAnsi" w:cstheme="minorHAnsi"/>
          <w:spacing w:val="-8"/>
          <w:sz w:val="28"/>
          <w:szCs w:val="28"/>
        </w:rPr>
        <w:t xml:space="preserve"> </w:t>
      </w:r>
      <w:r w:rsidRPr="00E84697">
        <w:rPr>
          <w:rFonts w:asciiTheme="minorHAnsi" w:hAnsiTheme="minorHAnsi" w:cstheme="minorHAnsi"/>
          <w:sz w:val="28"/>
          <w:szCs w:val="28"/>
        </w:rPr>
        <w:t>to</w:t>
      </w:r>
      <w:r w:rsidRPr="00E84697">
        <w:rPr>
          <w:rFonts w:asciiTheme="minorHAnsi" w:hAnsiTheme="minorHAnsi" w:cstheme="minorHAnsi"/>
          <w:spacing w:val="-9"/>
          <w:sz w:val="28"/>
          <w:szCs w:val="28"/>
        </w:rPr>
        <w:t xml:space="preserve"> </w:t>
      </w:r>
      <w:r w:rsidRPr="00E84697">
        <w:rPr>
          <w:rFonts w:asciiTheme="minorHAnsi" w:hAnsiTheme="minorHAnsi" w:cstheme="minorHAnsi"/>
          <w:sz w:val="28"/>
          <w:szCs w:val="28"/>
        </w:rPr>
        <w:t>acquire</w:t>
      </w:r>
      <w:r w:rsidRPr="00E84697">
        <w:rPr>
          <w:rFonts w:asciiTheme="minorHAnsi" w:hAnsiTheme="minorHAnsi" w:cstheme="minorHAnsi"/>
          <w:spacing w:val="-9"/>
          <w:sz w:val="28"/>
          <w:szCs w:val="28"/>
        </w:rPr>
        <w:t xml:space="preserve"> </w:t>
      </w:r>
      <w:r w:rsidRPr="00E84697">
        <w:rPr>
          <w:rFonts w:asciiTheme="minorHAnsi" w:hAnsiTheme="minorHAnsi" w:cstheme="minorHAnsi"/>
          <w:sz w:val="28"/>
          <w:szCs w:val="28"/>
        </w:rPr>
        <w:t>the</w:t>
      </w:r>
      <w:r w:rsidRPr="00E84697">
        <w:rPr>
          <w:rFonts w:asciiTheme="minorHAnsi" w:hAnsiTheme="minorHAnsi" w:cstheme="minorHAnsi"/>
          <w:spacing w:val="-8"/>
          <w:sz w:val="28"/>
          <w:szCs w:val="28"/>
        </w:rPr>
        <w:t xml:space="preserve"> </w:t>
      </w:r>
      <w:r w:rsidRPr="00E84697">
        <w:rPr>
          <w:rFonts w:asciiTheme="minorHAnsi" w:hAnsiTheme="minorHAnsi" w:cstheme="minorHAnsi"/>
          <w:sz w:val="28"/>
          <w:szCs w:val="28"/>
        </w:rPr>
        <w:t>clinical</w:t>
      </w:r>
      <w:r w:rsidRPr="00E84697">
        <w:rPr>
          <w:rFonts w:asciiTheme="minorHAnsi" w:hAnsiTheme="minorHAnsi" w:cstheme="minorHAnsi"/>
          <w:spacing w:val="-9"/>
          <w:sz w:val="28"/>
          <w:szCs w:val="28"/>
        </w:rPr>
        <w:t xml:space="preserve"> </w:t>
      </w:r>
      <w:r w:rsidRPr="00E84697">
        <w:rPr>
          <w:rFonts w:asciiTheme="minorHAnsi" w:hAnsiTheme="minorHAnsi" w:cstheme="minorHAnsi"/>
          <w:sz w:val="28"/>
          <w:szCs w:val="28"/>
        </w:rPr>
        <w:t>skills</w:t>
      </w:r>
      <w:r w:rsidRPr="00E84697">
        <w:rPr>
          <w:rFonts w:asciiTheme="minorHAnsi" w:hAnsiTheme="minorHAnsi" w:cstheme="minorHAnsi"/>
          <w:spacing w:val="-9"/>
          <w:sz w:val="28"/>
          <w:szCs w:val="28"/>
        </w:rPr>
        <w:t xml:space="preserve"> </w:t>
      </w:r>
      <w:r w:rsidRPr="00E84697">
        <w:rPr>
          <w:rFonts w:asciiTheme="minorHAnsi" w:hAnsiTheme="minorHAnsi" w:cstheme="minorHAnsi"/>
          <w:sz w:val="28"/>
          <w:szCs w:val="28"/>
        </w:rPr>
        <w:t>required</w:t>
      </w:r>
      <w:r w:rsidRPr="00E84697">
        <w:rPr>
          <w:rFonts w:asciiTheme="minorHAnsi" w:hAnsiTheme="minorHAnsi" w:cstheme="minorHAnsi"/>
          <w:spacing w:val="-8"/>
          <w:sz w:val="28"/>
          <w:szCs w:val="28"/>
        </w:rPr>
        <w:t xml:space="preserve"> </w:t>
      </w:r>
      <w:r w:rsidRPr="00E84697">
        <w:rPr>
          <w:rFonts w:asciiTheme="minorHAnsi" w:hAnsiTheme="minorHAnsi" w:cstheme="minorHAnsi"/>
          <w:sz w:val="28"/>
          <w:szCs w:val="28"/>
        </w:rPr>
        <w:t>for</w:t>
      </w:r>
      <w:r w:rsidRPr="00E84697">
        <w:rPr>
          <w:rFonts w:asciiTheme="minorHAnsi" w:hAnsiTheme="minorHAnsi" w:cstheme="minorHAnsi"/>
          <w:spacing w:val="-9"/>
          <w:sz w:val="28"/>
          <w:szCs w:val="28"/>
        </w:rPr>
        <w:t xml:space="preserve"> </w:t>
      </w:r>
      <w:r w:rsidRPr="00E84697">
        <w:rPr>
          <w:rFonts w:asciiTheme="minorHAnsi" w:hAnsiTheme="minorHAnsi" w:cstheme="minorHAnsi"/>
          <w:sz w:val="28"/>
          <w:szCs w:val="28"/>
        </w:rPr>
        <w:t>managing</w:t>
      </w:r>
      <w:r w:rsidRPr="00E84697">
        <w:rPr>
          <w:rFonts w:asciiTheme="minorHAnsi" w:hAnsiTheme="minorHAnsi" w:cstheme="minorHAnsi"/>
          <w:spacing w:val="-8"/>
          <w:sz w:val="28"/>
          <w:szCs w:val="28"/>
        </w:rPr>
        <w:t xml:space="preserve"> </w:t>
      </w:r>
      <w:r w:rsidRPr="00E84697">
        <w:rPr>
          <w:rFonts w:asciiTheme="minorHAnsi" w:hAnsiTheme="minorHAnsi" w:cstheme="minorHAnsi"/>
          <w:sz w:val="28"/>
          <w:szCs w:val="28"/>
        </w:rPr>
        <w:t>a</w:t>
      </w:r>
      <w:r w:rsidRPr="00E84697">
        <w:rPr>
          <w:rFonts w:asciiTheme="minorHAnsi" w:hAnsiTheme="minorHAnsi" w:cstheme="minorHAnsi"/>
          <w:spacing w:val="-9"/>
          <w:sz w:val="28"/>
          <w:szCs w:val="28"/>
        </w:rPr>
        <w:t xml:space="preserve"> </w:t>
      </w:r>
      <w:r w:rsidRPr="00E84697">
        <w:rPr>
          <w:rFonts w:asciiTheme="minorHAnsi" w:hAnsiTheme="minorHAnsi" w:cstheme="minorHAnsi"/>
          <w:sz w:val="28"/>
          <w:szCs w:val="28"/>
        </w:rPr>
        <w:t>real</w:t>
      </w:r>
      <w:r w:rsidRPr="00E84697">
        <w:rPr>
          <w:rFonts w:asciiTheme="minorHAnsi" w:hAnsiTheme="minorHAnsi" w:cstheme="minorHAnsi"/>
          <w:spacing w:val="-8"/>
          <w:sz w:val="28"/>
          <w:szCs w:val="28"/>
        </w:rPr>
        <w:t xml:space="preserve"> </w:t>
      </w:r>
      <w:r w:rsidRPr="00E84697">
        <w:rPr>
          <w:rFonts w:asciiTheme="minorHAnsi" w:hAnsiTheme="minorHAnsi" w:cstheme="minorHAnsi"/>
          <w:sz w:val="28"/>
          <w:szCs w:val="28"/>
        </w:rPr>
        <w:t>patient.</w:t>
      </w:r>
      <w:r w:rsidRPr="00E84697">
        <w:rPr>
          <w:rFonts w:asciiTheme="minorHAnsi" w:hAnsiTheme="minorHAnsi" w:cstheme="minorHAnsi"/>
          <w:spacing w:val="-9"/>
          <w:sz w:val="28"/>
          <w:szCs w:val="28"/>
        </w:rPr>
        <w:t xml:space="preserve"> </w:t>
      </w:r>
      <w:r w:rsidRPr="00E84697">
        <w:rPr>
          <w:rFonts w:asciiTheme="minorHAnsi" w:hAnsiTheme="minorHAnsi" w:cstheme="minorHAnsi"/>
          <w:sz w:val="28"/>
          <w:szCs w:val="28"/>
        </w:rPr>
        <w:t>Because</w:t>
      </w:r>
      <w:r w:rsidRPr="00E84697">
        <w:rPr>
          <w:rFonts w:asciiTheme="minorHAnsi" w:hAnsiTheme="minorHAnsi" w:cstheme="minorHAnsi"/>
          <w:spacing w:val="-9"/>
          <w:sz w:val="28"/>
          <w:szCs w:val="28"/>
        </w:rPr>
        <w:t xml:space="preserve"> </w:t>
      </w:r>
      <w:r w:rsidRPr="00E84697">
        <w:rPr>
          <w:rFonts w:asciiTheme="minorHAnsi" w:hAnsiTheme="minorHAnsi" w:cstheme="minorHAnsi"/>
          <w:sz w:val="28"/>
          <w:szCs w:val="28"/>
        </w:rPr>
        <w:t xml:space="preserve">this is a simulated environment, students have the freedom of trial and error, and have the ability to learn from their mistakes. </w:t>
      </w:r>
      <w:r w:rsidR="00E34318" w:rsidRPr="00E84697">
        <w:rPr>
          <w:rFonts w:asciiTheme="minorHAnsi" w:hAnsiTheme="minorHAnsi" w:cstheme="minorHAnsi"/>
          <w:sz w:val="28"/>
          <w:szCs w:val="28"/>
        </w:rPr>
        <w:t>Furthermore, feedback about patient-communication skills is provided to the student, so that they can improve on the same</w:t>
      </w:r>
      <w:r w:rsidR="00E34318" w:rsidRPr="00E84697">
        <w:rPr>
          <w:rFonts w:asciiTheme="minorHAnsi" w:hAnsiTheme="minorHAnsi" w:cstheme="minorHAnsi"/>
          <w:spacing w:val="-4"/>
          <w:sz w:val="28"/>
          <w:szCs w:val="28"/>
        </w:rPr>
        <w:t xml:space="preserve">. </w:t>
      </w:r>
      <w:r w:rsidRPr="00E84697">
        <w:rPr>
          <w:rFonts w:asciiTheme="minorHAnsi" w:hAnsiTheme="minorHAnsi" w:cstheme="minorHAnsi"/>
          <w:sz w:val="28"/>
          <w:szCs w:val="28"/>
        </w:rPr>
        <w:t>During the COVID – 19 pandemic when patient encounters for the students had gone significantly low, the use of VPL became an essential tool to ensure that students have the required clinical competency. We believe that the students are the best to say which learning tool can help them most to be clinically</w:t>
      </w:r>
      <w:r w:rsidRPr="00E84697">
        <w:rPr>
          <w:rFonts w:asciiTheme="minorHAnsi" w:hAnsiTheme="minorHAnsi" w:cstheme="minorHAnsi"/>
          <w:spacing w:val="-10"/>
          <w:sz w:val="28"/>
          <w:szCs w:val="28"/>
        </w:rPr>
        <w:t xml:space="preserve"> </w:t>
      </w:r>
      <w:r w:rsidRPr="00E84697">
        <w:rPr>
          <w:rFonts w:asciiTheme="minorHAnsi" w:hAnsiTheme="minorHAnsi" w:cstheme="minorHAnsi"/>
          <w:sz w:val="28"/>
          <w:szCs w:val="28"/>
        </w:rPr>
        <w:t>competent.</w:t>
      </w:r>
      <w:r w:rsidRPr="00E84697">
        <w:rPr>
          <w:rFonts w:asciiTheme="minorHAnsi" w:hAnsiTheme="minorHAnsi" w:cstheme="minorHAnsi"/>
          <w:spacing w:val="-10"/>
          <w:sz w:val="28"/>
          <w:szCs w:val="28"/>
        </w:rPr>
        <w:t xml:space="preserve"> </w:t>
      </w:r>
      <w:r w:rsidRPr="00E84697">
        <w:rPr>
          <w:rFonts w:asciiTheme="minorHAnsi" w:hAnsiTheme="minorHAnsi" w:cstheme="minorHAnsi"/>
          <w:sz w:val="28"/>
          <w:szCs w:val="28"/>
        </w:rPr>
        <w:t>Driven</w:t>
      </w:r>
      <w:r w:rsidRPr="00E84697">
        <w:rPr>
          <w:rFonts w:asciiTheme="minorHAnsi" w:hAnsiTheme="minorHAnsi" w:cstheme="minorHAnsi"/>
          <w:spacing w:val="-9"/>
          <w:sz w:val="28"/>
          <w:szCs w:val="28"/>
        </w:rPr>
        <w:t xml:space="preserve"> </w:t>
      </w:r>
      <w:r w:rsidRPr="00E84697">
        <w:rPr>
          <w:rFonts w:asciiTheme="minorHAnsi" w:hAnsiTheme="minorHAnsi" w:cstheme="minorHAnsi"/>
          <w:sz w:val="28"/>
          <w:szCs w:val="28"/>
        </w:rPr>
        <w:t>by</w:t>
      </w:r>
      <w:r w:rsidRPr="00E84697">
        <w:rPr>
          <w:rFonts w:asciiTheme="minorHAnsi" w:hAnsiTheme="minorHAnsi" w:cstheme="minorHAnsi"/>
          <w:spacing w:val="-10"/>
          <w:sz w:val="28"/>
          <w:szCs w:val="28"/>
        </w:rPr>
        <w:t xml:space="preserve"> </w:t>
      </w:r>
      <w:r w:rsidRPr="00E84697">
        <w:rPr>
          <w:rFonts w:asciiTheme="minorHAnsi" w:hAnsiTheme="minorHAnsi" w:cstheme="minorHAnsi"/>
          <w:sz w:val="28"/>
          <w:szCs w:val="28"/>
        </w:rPr>
        <w:t>this</w:t>
      </w:r>
      <w:r w:rsidRPr="00E84697">
        <w:rPr>
          <w:rFonts w:asciiTheme="minorHAnsi" w:hAnsiTheme="minorHAnsi" w:cstheme="minorHAnsi"/>
          <w:spacing w:val="-9"/>
          <w:sz w:val="28"/>
          <w:szCs w:val="28"/>
        </w:rPr>
        <w:t xml:space="preserve"> </w:t>
      </w:r>
      <w:r w:rsidRPr="00E84697">
        <w:rPr>
          <w:rFonts w:asciiTheme="minorHAnsi" w:hAnsiTheme="minorHAnsi" w:cstheme="minorHAnsi"/>
          <w:sz w:val="28"/>
          <w:szCs w:val="28"/>
        </w:rPr>
        <w:t>belief,</w:t>
      </w:r>
      <w:r w:rsidRPr="00E84697">
        <w:rPr>
          <w:rFonts w:asciiTheme="minorHAnsi" w:hAnsiTheme="minorHAnsi" w:cstheme="minorHAnsi"/>
          <w:spacing w:val="-10"/>
          <w:sz w:val="28"/>
          <w:szCs w:val="28"/>
        </w:rPr>
        <w:t xml:space="preserve"> </w:t>
      </w:r>
      <w:r w:rsidRPr="00E84697">
        <w:rPr>
          <w:rFonts w:asciiTheme="minorHAnsi" w:hAnsiTheme="minorHAnsi" w:cstheme="minorHAnsi"/>
          <w:sz w:val="28"/>
          <w:szCs w:val="28"/>
        </w:rPr>
        <w:t>we</w:t>
      </w:r>
      <w:r w:rsidRPr="00E84697">
        <w:rPr>
          <w:rFonts w:asciiTheme="minorHAnsi" w:hAnsiTheme="minorHAnsi" w:cstheme="minorHAnsi"/>
          <w:spacing w:val="-9"/>
          <w:sz w:val="28"/>
          <w:szCs w:val="28"/>
        </w:rPr>
        <w:t xml:space="preserve"> </w:t>
      </w:r>
      <w:r w:rsidRPr="00E84697">
        <w:rPr>
          <w:rFonts w:asciiTheme="minorHAnsi" w:hAnsiTheme="minorHAnsi" w:cstheme="minorHAnsi"/>
          <w:sz w:val="28"/>
          <w:szCs w:val="28"/>
        </w:rPr>
        <w:t>have</w:t>
      </w:r>
      <w:r w:rsidRPr="00E84697">
        <w:rPr>
          <w:rFonts w:asciiTheme="minorHAnsi" w:hAnsiTheme="minorHAnsi" w:cstheme="minorHAnsi"/>
          <w:spacing w:val="-10"/>
          <w:sz w:val="28"/>
          <w:szCs w:val="28"/>
        </w:rPr>
        <w:t xml:space="preserve"> </w:t>
      </w:r>
      <w:r w:rsidRPr="00E84697">
        <w:rPr>
          <w:rFonts w:asciiTheme="minorHAnsi" w:hAnsiTheme="minorHAnsi" w:cstheme="minorHAnsi"/>
          <w:sz w:val="28"/>
          <w:szCs w:val="28"/>
        </w:rPr>
        <w:t>decided</w:t>
      </w:r>
      <w:r w:rsidRPr="00E84697">
        <w:rPr>
          <w:rFonts w:asciiTheme="minorHAnsi" w:hAnsiTheme="minorHAnsi" w:cstheme="minorHAnsi"/>
          <w:spacing w:val="-9"/>
          <w:sz w:val="28"/>
          <w:szCs w:val="28"/>
        </w:rPr>
        <w:t xml:space="preserve"> </w:t>
      </w:r>
      <w:r w:rsidRPr="00E84697">
        <w:rPr>
          <w:rFonts w:asciiTheme="minorHAnsi" w:hAnsiTheme="minorHAnsi" w:cstheme="minorHAnsi"/>
          <w:sz w:val="28"/>
          <w:szCs w:val="28"/>
        </w:rPr>
        <w:t>to</w:t>
      </w:r>
      <w:r w:rsidRPr="00E84697">
        <w:rPr>
          <w:rFonts w:asciiTheme="minorHAnsi" w:hAnsiTheme="minorHAnsi" w:cstheme="minorHAnsi"/>
          <w:spacing w:val="-10"/>
          <w:sz w:val="28"/>
          <w:szCs w:val="28"/>
        </w:rPr>
        <w:t xml:space="preserve"> </w:t>
      </w:r>
      <w:r w:rsidRPr="00E84697">
        <w:rPr>
          <w:rFonts w:asciiTheme="minorHAnsi" w:hAnsiTheme="minorHAnsi" w:cstheme="minorHAnsi"/>
          <w:sz w:val="28"/>
          <w:szCs w:val="28"/>
        </w:rPr>
        <w:t>find</w:t>
      </w:r>
      <w:r w:rsidRPr="00E84697">
        <w:rPr>
          <w:rFonts w:asciiTheme="minorHAnsi" w:hAnsiTheme="minorHAnsi" w:cstheme="minorHAnsi"/>
          <w:spacing w:val="-9"/>
          <w:sz w:val="28"/>
          <w:szCs w:val="28"/>
        </w:rPr>
        <w:t xml:space="preserve"> </w:t>
      </w:r>
      <w:r w:rsidRPr="00E84697">
        <w:rPr>
          <w:rFonts w:asciiTheme="minorHAnsi" w:hAnsiTheme="minorHAnsi" w:cstheme="minorHAnsi"/>
          <w:sz w:val="28"/>
          <w:szCs w:val="28"/>
        </w:rPr>
        <w:t>how</w:t>
      </w:r>
      <w:r w:rsidRPr="00E84697">
        <w:rPr>
          <w:rFonts w:asciiTheme="minorHAnsi" w:hAnsiTheme="minorHAnsi" w:cstheme="minorHAnsi"/>
          <w:spacing w:val="-10"/>
          <w:sz w:val="28"/>
          <w:szCs w:val="28"/>
        </w:rPr>
        <w:t xml:space="preserve"> </w:t>
      </w:r>
      <w:r w:rsidRPr="00E84697">
        <w:rPr>
          <w:rFonts w:asciiTheme="minorHAnsi" w:hAnsiTheme="minorHAnsi" w:cstheme="minorHAnsi"/>
          <w:sz w:val="28"/>
          <w:szCs w:val="28"/>
        </w:rPr>
        <w:t>medical</w:t>
      </w:r>
      <w:r w:rsidRPr="00E84697">
        <w:rPr>
          <w:rFonts w:asciiTheme="minorHAnsi" w:hAnsiTheme="minorHAnsi" w:cstheme="minorHAnsi"/>
          <w:spacing w:val="-9"/>
          <w:sz w:val="28"/>
          <w:szCs w:val="28"/>
        </w:rPr>
        <w:t xml:space="preserve"> </w:t>
      </w:r>
      <w:r w:rsidRPr="00E84697">
        <w:rPr>
          <w:rFonts w:asciiTheme="minorHAnsi" w:hAnsiTheme="minorHAnsi" w:cstheme="minorHAnsi"/>
          <w:sz w:val="28"/>
          <w:szCs w:val="28"/>
        </w:rPr>
        <w:t>students</w:t>
      </w:r>
      <w:r w:rsidRPr="00E84697">
        <w:rPr>
          <w:rFonts w:asciiTheme="minorHAnsi" w:hAnsiTheme="minorHAnsi" w:cstheme="minorHAnsi"/>
          <w:spacing w:val="-10"/>
          <w:sz w:val="28"/>
          <w:szCs w:val="28"/>
        </w:rPr>
        <w:t xml:space="preserve"> </w:t>
      </w:r>
      <w:r w:rsidRPr="00E84697">
        <w:rPr>
          <w:rFonts w:asciiTheme="minorHAnsi" w:hAnsiTheme="minorHAnsi" w:cstheme="minorHAnsi"/>
          <w:sz w:val="28"/>
          <w:szCs w:val="28"/>
        </w:rPr>
        <w:t>in</w:t>
      </w:r>
      <w:r w:rsidRPr="00E84697">
        <w:rPr>
          <w:rFonts w:asciiTheme="minorHAnsi" w:hAnsiTheme="minorHAnsi" w:cstheme="minorHAnsi"/>
          <w:spacing w:val="-9"/>
          <w:sz w:val="28"/>
          <w:szCs w:val="28"/>
        </w:rPr>
        <w:t xml:space="preserve"> </w:t>
      </w:r>
      <w:r w:rsidRPr="00E84697">
        <w:rPr>
          <w:rFonts w:asciiTheme="minorHAnsi" w:hAnsiTheme="minorHAnsi" w:cstheme="minorHAnsi"/>
          <w:sz w:val="28"/>
          <w:szCs w:val="28"/>
        </w:rPr>
        <w:t xml:space="preserve">GMU perceive the use of VPL as a learning tool. </w:t>
      </w:r>
    </w:p>
    <w:p w14:paraId="0D3DF8C5" w14:textId="77777777" w:rsidR="00F21D43" w:rsidRPr="00E84697" w:rsidRDefault="00F21D43" w:rsidP="00E84697">
      <w:pPr>
        <w:pStyle w:val="BodyText"/>
        <w:spacing w:line="276" w:lineRule="auto"/>
        <w:jc w:val="both"/>
        <w:rPr>
          <w:rFonts w:asciiTheme="minorHAnsi" w:hAnsiTheme="minorHAnsi" w:cstheme="minorHAnsi"/>
          <w:sz w:val="28"/>
          <w:szCs w:val="28"/>
        </w:rPr>
      </w:pPr>
      <w:r w:rsidRPr="00E84697">
        <w:rPr>
          <w:rFonts w:asciiTheme="minorHAnsi" w:hAnsiTheme="minorHAnsi" w:cstheme="minorHAnsi"/>
          <w:b/>
          <w:bCs/>
          <w:sz w:val="28"/>
          <w:szCs w:val="28"/>
        </w:rPr>
        <w:t>About institution</w:t>
      </w:r>
      <w:r w:rsidRPr="00E84697">
        <w:rPr>
          <w:rFonts w:asciiTheme="minorHAnsi" w:hAnsiTheme="minorHAnsi" w:cstheme="minorHAnsi"/>
          <w:sz w:val="28"/>
          <w:szCs w:val="28"/>
        </w:rPr>
        <w:t xml:space="preserve">: Gulf Medical University, Ajman (GMU) is one of the largest private medical universities in the United Arab Emirates that offers medical and health professional education in the fields of Medicine, Dentistry, Pharmacy, Physiotherapy, Nursing, Medical Laboratory Sciences, Anesthesia &amp; Surgical Technology, and Medical Imaging Sciences. Founded in 1998, GMU has quickly gone to become one of the top medical universities in the Middle East. </w:t>
      </w:r>
    </w:p>
    <w:p w14:paraId="04173E90" w14:textId="09D1BDEC" w:rsidR="00E34318" w:rsidRPr="00E84697" w:rsidRDefault="00E34318" w:rsidP="00E84697">
      <w:pPr>
        <w:spacing w:line="276" w:lineRule="auto"/>
        <w:jc w:val="both"/>
        <w:rPr>
          <w:rFonts w:cstheme="minorHAnsi"/>
          <w:b/>
          <w:bCs/>
          <w:sz w:val="28"/>
          <w:szCs w:val="28"/>
        </w:rPr>
      </w:pPr>
      <w:r w:rsidRPr="00E84697">
        <w:rPr>
          <w:rFonts w:cstheme="minorHAnsi"/>
          <w:b/>
          <w:bCs/>
          <w:sz w:val="28"/>
          <w:szCs w:val="28"/>
        </w:rPr>
        <w:t xml:space="preserve">References: </w:t>
      </w:r>
    </w:p>
    <w:p w14:paraId="20CE20A2" w14:textId="0F2C3B3F" w:rsidR="00E34318" w:rsidRPr="00E84697" w:rsidRDefault="00E34318" w:rsidP="00E84697">
      <w:pPr>
        <w:pStyle w:val="ListParagraph"/>
        <w:numPr>
          <w:ilvl w:val="0"/>
          <w:numId w:val="1"/>
        </w:numPr>
        <w:tabs>
          <w:tab w:val="left" w:pos="1626"/>
          <w:tab w:val="left" w:pos="1627"/>
        </w:tabs>
        <w:spacing w:line="276" w:lineRule="auto"/>
        <w:ind w:left="0" w:hanging="640"/>
        <w:jc w:val="both"/>
        <w:rPr>
          <w:rFonts w:asciiTheme="minorHAnsi" w:hAnsiTheme="minorHAnsi" w:cstheme="minorHAnsi"/>
          <w:sz w:val="28"/>
          <w:szCs w:val="28"/>
        </w:rPr>
      </w:pPr>
      <w:r w:rsidRPr="00E84697">
        <w:rPr>
          <w:rFonts w:asciiTheme="minorHAnsi" w:hAnsiTheme="minorHAnsi" w:cstheme="minorHAnsi"/>
          <w:sz w:val="28"/>
          <w:szCs w:val="28"/>
        </w:rPr>
        <w:t>Hamdy H, Prasad K, Williams R, Salih FA. Reliability and validity of the direct observation clinical encounter examination (DOCEE). Medical education. 2003</w:t>
      </w:r>
      <w:r w:rsidRPr="00E84697">
        <w:rPr>
          <w:rFonts w:asciiTheme="minorHAnsi" w:hAnsiTheme="minorHAnsi" w:cstheme="minorHAnsi"/>
          <w:spacing w:val="-26"/>
          <w:sz w:val="28"/>
          <w:szCs w:val="28"/>
        </w:rPr>
        <w:t xml:space="preserve"> </w:t>
      </w:r>
      <w:r w:rsidRPr="00E84697">
        <w:rPr>
          <w:rFonts w:asciiTheme="minorHAnsi" w:hAnsiTheme="minorHAnsi" w:cstheme="minorHAnsi"/>
          <w:sz w:val="28"/>
          <w:szCs w:val="28"/>
        </w:rPr>
        <w:t>Mar;37(3):205–12.</w:t>
      </w:r>
    </w:p>
    <w:p w14:paraId="504319EA" w14:textId="77777777" w:rsidR="00E34318" w:rsidRPr="00E84697" w:rsidRDefault="00E34318" w:rsidP="00E84697">
      <w:pPr>
        <w:pStyle w:val="ListParagraph"/>
        <w:numPr>
          <w:ilvl w:val="0"/>
          <w:numId w:val="1"/>
        </w:numPr>
        <w:tabs>
          <w:tab w:val="left" w:pos="1558"/>
          <w:tab w:val="left" w:pos="1560"/>
        </w:tabs>
        <w:spacing w:before="1" w:line="276" w:lineRule="auto"/>
        <w:ind w:left="0" w:hanging="640"/>
        <w:jc w:val="both"/>
        <w:rPr>
          <w:rFonts w:asciiTheme="minorHAnsi" w:hAnsiTheme="minorHAnsi" w:cstheme="minorHAnsi"/>
          <w:sz w:val="28"/>
          <w:szCs w:val="28"/>
        </w:rPr>
      </w:pPr>
      <w:r w:rsidRPr="00E84697">
        <w:rPr>
          <w:rFonts w:asciiTheme="minorHAnsi" w:hAnsiTheme="minorHAnsi" w:cstheme="minorHAnsi"/>
          <w:sz w:val="28"/>
          <w:szCs w:val="28"/>
        </w:rPr>
        <w:t>Isaza-Restrepo A, Gómez MT, Cifuentes G, Argüello A. The virtual patient as a learning tool: A mixed quantitative qualitative study. BMC Medical Education.</w:t>
      </w:r>
      <w:r w:rsidRPr="00E84697">
        <w:rPr>
          <w:rFonts w:asciiTheme="minorHAnsi" w:hAnsiTheme="minorHAnsi" w:cstheme="minorHAnsi"/>
          <w:spacing w:val="-15"/>
          <w:sz w:val="28"/>
          <w:szCs w:val="28"/>
        </w:rPr>
        <w:t xml:space="preserve"> </w:t>
      </w:r>
      <w:r w:rsidRPr="00E84697">
        <w:rPr>
          <w:rFonts w:asciiTheme="minorHAnsi" w:hAnsiTheme="minorHAnsi" w:cstheme="minorHAnsi"/>
          <w:sz w:val="28"/>
          <w:szCs w:val="28"/>
        </w:rPr>
        <w:t>2018;18(1):1–10.</w:t>
      </w:r>
    </w:p>
    <w:p w14:paraId="45CEC691" w14:textId="77777777" w:rsidR="00E34318" w:rsidRPr="00E84697" w:rsidRDefault="00E34318" w:rsidP="00E84697">
      <w:pPr>
        <w:pStyle w:val="ListParagraph"/>
        <w:numPr>
          <w:ilvl w:val="0"/>
          <w:numId w:val="1"/>
        </w:numPr>
        <w:tabs>
          <w:tab w:val="left" w:pos="1558"/>
          <w:tab w:val="left" w:pos="1560"/>
        </w:tabs>
        <w:spacing w:line="276" w:lineRule="auto"/>
        <w:ind w:left="0" w:hanging="640"/>
        <w:jc w:val="both"/>
        <w:rPr>
          <w:rFonts w:asciiTheme="minorHAnsi" w:hAnsiTheme="minorHAnsi" w:cstheme="minorHAnsi"/>
          <w:sz w:val="28"/>
          <w:szCs w:val="28"/>
        </w:rPr>
      </w:pPr>
      <w:r w:rsidRPr="00E84697">
        <w:rPr>
          <w:rFonts w:asciiTheme="minorHAnsi" w:hAnsiTheme="minorHAnsi" w:cstheme="minorHAnsi"/>
          <w:sz w:val="28"/>
          <w:szCs w:val="28"/>
        </w:rPr>
        <w:t xml:space="preserve">Kononowicz AA, Woodham LA, Edelbring S, Stathakarou N, Davies D, Saxena N, et al. Virtual patient simulations in health professions education: Systematic review </w:t>
      </w:r>
      <w:r w:rsidRPr="00E84697">
        <w:rPr>
          <w:rFonts w:asciiTheme="minorHAnsi" w:hAnsiTheme="minorHAnsi" w:cstheme="minorHAnsi"/>
          <w:sz w:val="28"/>
          <w:szCs w:val="28"/>
        </w:rPr>
        <w:lastRenderedPageBreak/>
        <w:t>and meta-analysis by the digital</w:t>
      </w:r>
      <w:r w:rsidRPr="00E84697">
        <w:rPr>
          <w:rFonts w:asciiTheme="minorHAnsi" w:hAnsiTheme="minorHAnsi" w:cstheme="minorHAnsi"/>
          <w:spacing w:val="-5"/>
          <w:sz w:val="28"/>
          <w:szCs w:val="28"/>
        </w:rPr>
        <w:t xml:space="preserve"> </w:t>
      </w:r>
      <w:r w:rsidRPr="00E84697">
        <w:rPr>
          <w:rFonts w:asciiTheme="minorHAnsi" w:hAnsiTheme="minorHAnsi" w:cstheme="minorHAnsi"/>
          <w:sz w:val="28"/>
          <w:szCs w:val="28"/>
        </w:rPr>
        <w:t>health</w:t>
      </w:r>
      <w:r w:rsidRPr="00E84697">
        <w:rPr>
          <w:rFonts w:asciiTheme="minorHAnsi" w:hAnsiTheme="minorHAnsi" w:cstheme="minorHAnsi"/>
          <w:spacing w:val="-4"/>
          <w:sz w:val="28"/>
          <w:szCs w:val="28"/>
        </w:rPr>
        <w:t xml:space="preserve"> </w:t>
      </w:r>
      <w:r w:rsidRPr="00E84697">
        <w:rPr>
          <w:rFonts w:asciiTheme="minorHAnsi" w:hAnsiTheme="minorHAnsi" w:cstheme="minorHAnsi"/>
          <w:sz w:val="28"/>
          <w:szCs w:val="28"/>
        </w:rPr>
        <w:t>education</w:t>
      </w:r>
      <w:r w:rsidRPr="00E84697">
        <w:rPr>
          <w:rFonts w:asciiTheme="minorHAnsi" w:hAnsiTheme="minorHAnsi" w:cstheme="minorHAnsi"/>
          <w:spacing w:val="-5"/>
          <w:sz w:val="28"/>
          <w:szCs w:val="28"/>
        </w:rPr>
        <w:t xml:space="preserve"> </w:t>
      </w:r>
      <w:r w:rsidRPr="00E84697">
        <w:rPr>
          <w:rFonts w:asciiTheme="minorHAnsi" w:hAnsiTheme="minorHAnsi" w:cstheme="minorHAnsi"/>
          <w:sz w:val="28"/>
          <w:szCs w:val="28"/>
        </w:rPr>
        <w:t>collaboration.</w:t>
      </w:r>
      <w:r w:rsidRPr="00E84697">
        <w:rPr>
          <w:rFonts w:asciiTheme="minorHAnsi" w:hAnsiTheme="minorHAnsi" w:cstheme="minorHAnsi"/>
          <w:spacing w:val="-4"/>
          <w:sz w:val="28"/>
          <w:szCs w:val="28"/>
        </w:rPr>
        <w:t xml:space="preserve"> </w:t>
      </w:r>
      <w:r w:rsidRPr="00E84697">
        <w:rPr>
          <w:rFonts w:asciiTheme="minorHAnsi" w:hAnsiTheme="minorHAnsi" w:cstheme="minorHAnsi"/>
          <w:sz w:val="28"/>
          <w:szCs w:val="28"/>
        </w:rPr>
        <w:t>Journal</w:t>
      </w:r>
      <w:r w:rsidRPr="00E84697">
        <w:rPr>
          <w:rFonts w:asciiTheme="minorHAnsi" w:hAnsiTheme="minorHAnsi" w:cstheme="minorHAnsi"/>
          <w:spacing w:val="-5"/>
          <w:sz w:val="28"/>
          <w:szCs w:val="28"/>
        </w:rPr>
        <w:t xml:space="preserve"> </w:t>
      </w:r>
      <w:r w:rsidRPr="00E84697">
        <w:rPr>
          <w:rFonts w:asciiTheme="minorHAnsi" w:hAnsiTheme="minorHAnsi" w:cstheme="minorHAnsi"/>
          <w:sz w:val="28"/>
          <w:szCs w:val="28"/>
        </w:rPr>
        <w:t>of</w:t>
      </w:r>
      <w:r w:rsidRPr="00E84697">
        <w:rPr>
          <w:rFonts w:asciiTheme="minorHAnsi" w:hAnsiTheme="minorHAnsi" w:cstheme="minorHAnsi"/>
          <w:spacing w:val="-4"/>
          <w:sz w:val="28"/>
          <w:szCs w:val="28"/>
        </w:rPr>
        <w:t xml:space="preserve"> </w:t>
      </w:r>
      <w:r w:rsidRPr="00E84697">
        <w:rPr>
          <w:rFonts w:asciiTheme="minorHAnsi" w:hAnsiTheme="minorHAnsi" w:cstheme="minorHAnsi"/>
          <w:sz w:val="28"/>
          <w:szCs w:val="28"/>
        </w:rPr>
        <w:t>Medical</w:t>
      </w:r>
      <w:r w:rsidRPr="00E84697">
        <w:rPr>
          <w:rFonts w:asciiTheme="minorHAnsi" w:hAnsiTheme="minorHAnsi" w:cstheme="minorHAnsi"/>
          <w:spacing w:val="-5"/>
          <w:sz w:val="28"/>
          <w:szCs w:val="28"/>
        </w:rPr>
        <w:t xml:space="preserve"> </w:t>
      </w:r>
      <w:r w:rsidRPr="00E84697">
        <w:rPr>
          <w:rFonts w:asciiTheme="minorHAnsi" w:hAnsiTheme="minorHAnsi" w:cstheme="minorHAnsi"/>
          <w:sz w:val="28"/>
          <w:szCs w:val="28"/>
        </w:rPr>
        <w:t>Internet</w:t>
      </w:r>
      <w:r w:rsidRPr="00E84697">
        <w:rPr>
          <w:rFonts w:asciiTheme="minorHAnsi" w:hAnsiTheme="minorHAnsi" w:cstheme="minorHAnsi"/>
          <w:spacing w:val="-4"/>
          <w:sz w:val="28"/>
          <w:szCs w:val="28"/>
        </w:rPr>
        <w:t xml:space="preserve"> </w:t>
      </w:r>
      <w:r w:rsidRPr="00E84697">
        <w:rPr>
          <w:rFonts w:asciiTheme="minorHAnsi" w:hAnsiTheme="minorHAnsi" w:cstheme="minorHAnsi"/>
          <w:sz w:val="28"/>
          <w:szCs w:val="28"/>
        </w:rPr>
        <w:t>Research.</w:t>
      </w:r>
      <w:r w:rsidRPr="00E84697">
        <w:rPr>
          <w:rFonts w:asciiTheme="minorHAnsi" w:hAnsiTheme="minorHAnsi" w:cstheme="minorHAnsi"/>
          <w:spacing w:val="-5"/>
          <w:sz w:val="28"/>
          <w:szCs w:val="28"/>
        </w:rPr>
        <w:t xml:space="preserve"> </w:t>
      </w:r>
      <w:r w:rsidRPr="00E84697">
        <w:rPr>
          <w:rFonts w:asciiTheme="minorHAnsi" w:hAnsiTheme="minorHAnsi" w:cstheme="minorHAnsi"/>
          <w:sz w:val="28"/>
          <w:szCs w:val="28"/>
        </w:rPr>
        <w:t>2019;21(7):1–20.</w:t>
      </w:r>
    </w:p>
    <w:p w14:paraId="54883C59" w14:textId="77777777" w:rsidR="008F7F5E" w:rsidRPr="00E84697" w:rsidRDefault="008F7F5E" w:rsidP="00E84697">
      <w:pPr>
        <w:pStyle w:val="ListParagraph"/>
        <w:numPr>
          <w:ilvl w:val="0"/>
          <w:numId w:val="1"/>
        </w:numPr>
        <w:tabs>
          <w:tab w:val="left" w:pos="1558"/>
          <w:tab w:val="left" w:pos="1560"/>
        </w:tabs>
        <w:spacing w:before="1" w:line="276" w:lineRule="auto"/>
        <w:ind w:left="0" w:hanging="640"/>
        <w:jc w:val="both"/>
        <w:rPr>
          <w:rFonts w:asciiTheme="minorHAnsi" w:hAnsiTheme="minorHAnsi" w:cstheme="minorHAnsi"/>
          <w:sz w:val="28"/>
          <w:szCs w:val="28"/>
        </w:rPr>
      </w:pPr>
      <w:r w:rsidRPr="00E84697">
        <w:rPr>
          <w:rFonts w:asciiTheme="minorHAnsi" w:hAnsiTheme="minorHAnsi" w:cstheme="minorHAnsi"/>
          <w:sz w:val="28"/>
          <w:szCs w:val="28"/>
        </w:rPr>
        <w:t>Tavarnesi G, Laus A, Mazza R, Ambrosini L, Catenazzi N, Vanini S, et al. Learning with virtual patients in medical education. CEUR Workshop Proceedings.</w:t>
      </w:r>
      <w:r w:rsidRPr="00E84697">
        <w:rPr>
          <w:rFonts w:asciiTheme="minorHAnsi" w:hAnsiTheme="minorHAnsi" w:cstheme="minorHAnsi"/>
          <w:spacing w:val="-14"/>
          <w:sz w:val="28"/>
          <w:szCs w:val="28"/>
        </w:rPr>
        <w:t xml:space="preserve"> </w:t>
      </w:r>
      <w:r w:rsidRPr="00E84697">
        <w:rPr>
          <w:rFonts w:asciiTheme="minorHAnsi" w:hAnsiTheme="minorHAnsi" w:cstheme="minorHAnsi"/>
          <w:sz w:val="28"/>
          <w:szCs w:val="28"/>
        </w:rPr>
        <w:t>2018;2193:1–14.</w:t>
      </w:r>
    </w:p>
    <w:p w14:paraId="2EE98940" w14:textId="77777777" w:rsidR="00E34318" w:rsidRPr="00E84697" w:rsidRDefault="00E34318" w:rsidP="00E84697">
      <w:pPr>
        <w:tabs>
          <w:tab w:val="left" w:pos="1626"/>
          <w:tab w:val="left" w:pos="1627"/>
        </w:tabs>
        <w:spacing w:line="276" w:lineRule="auto"/>
        <w:jc w:val="both"/>
        <w:rPr>
          <w:rFonts w:ascii="Arial" w:hAnsi="Arial"/>
          <w:sz w:val="28"/>
          <w:szCs w:val="28"/>
        </w:rPr>
      </w:pPr>
    </w:p>
    <w:p w14:paraId="4E6FCB98" w14:textId="0FF03D82" w:rsidR="00E34318" w:rsidRPr="00E84697" w:rsidRDefault="00E34318" w:rsidP="00E84697">
      <w:pPr>
        <w:spacing w:line="276" w:lineRule="auto"/>
        <w:jc w:val="both"/>
        <w:rPr>
          <w:rFonts w:cstheme="minorHAnsi"/>
          <w:sz w:val="28"/>
          <w:szCs w:val="28"/>
        </w:rPr>
      </w:pPr>
    </w:p>
    <w:p w14:paraId="0E745ADA" w14:textId="77777777" w:rsidR="00E34318" w:rsidRPr="00E84697" w:rsidRDefault="00E34318" w:rsidP="00E84697">
      <w:pPr>
        <w:spacing w:line="276" w:lineRule="auto"/>
        <w:jc w:val="both"/>
        <w:rPr>
          <w:rFonts w:cstheme="minorHAnsi"/>
          <w:sz w:val="28"/>
          <w:szCs w:val="28"/>
        </w:rPr>
      </w:pPr>
    </w:p>
    <w:p w14:paraId="2F8A2020" w14:textId="77777777" w:rsidR="00840686" w:rsidRPr="00E84697" w:rsidRDefault="00840686" w:rsidP="00E84697">
      <w:pPr>
        <w:spacing w:line="276" w:lineRule="auto"/>
        <w:jc w:val="both"/>
        <w:rPr>
          <w:sz w:val="28"/>
          <w:szCs w:val="28"/>
        </w:rPr>
      </w:pPr>
    </w:p>
    <w:sectPr w:rsidR="00840686" w:rsidRPr="00E846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A01EB2"/>
    <w:multiLevelType w:val="hybridMultilevel"/>
    <w:tmpl w:val="7506ED42"/>
    <w:lvl w:ilvl="0" w:tplc="B5B8FFB0">
      <w:start w:val="1"/>
      <w:numFmt w:val="decimal"/>
      <w:lvlText w:val="%1."/>
      <w:lvlJc w:val="left"/>
      <w:pPr>
        <w:ind w:left="1539" w:hanging="728"/>
        <w:jc w:val="left"/>
      </w:pPr>
      <w:rPr>
        <w:rFonts w:hint="default"/>
        <w:spacing w:val="-1"/>
        <w:w w:val="100"/>
        <w:lang w:val="en-US" w:eastAsia="en-US" w:bidi="ar-SA"/>
      </w:rPr>
    </w:lvl>
    <w:lvl w:ilvl="1" w:tplc="C88C4510">
      <w:numFmt w:val="bullet"/>
      <w:lvlText w:val="•"/>
      <w:lvlJc w:val="left"/>
      <w:pPr>
        <w:ind w:left="2502" w:hanging="728"/>
      </w:pPr>
      <w:rPr>
        <w:rFonts w:hint="default"/>
        <w:lang w:val="en-US" w:eastAsia="en-US" w:bidi="ar-SA"/>
      </w:rPr>
    </w:lvl>
    <w:lvl w:ilvl="2" w:tplc="D32A80FA">
      <w:numFmt w:val="bullet"/>
      <w:lvlText w:val="•"/>
      <w:lvlJc w:val="left"/>
      <w:pPr>
        <w:ind w:left="3464" w:hanging="728"/>
      </w:pPr>
      <w:rPr>
        <w:rFonts w:hint="default"/>
        <w:lang w:val="en-US" w:eastAsia="en-US" w:bidi="ar-SA"/>
      </w:rPr>
    </w:lvl>
    <w:lvl w:ilvl="3" w:tplc="68169BF2">
      <w:numFmt w:val="bullet"/>
      <w:lvlText w:val="•"/>
      <w:lvlJc w:val="left"/>
      <w:pPr>
        <w:ind w:left="4426" w:hanging="728"/>
      </w:pPr>
      <w:rPr>
        <w:rFonts w:hint="default"/>
        <w:lang w:val="en-US" w:eastAsia="en-US" w:bidi="ar-SA"/>
      </w:rPr>
    </w:lvl>
    <w:lvl w:ilvl="4" w:tplc="23D88A38">
      <w:numFmt w:val="bullet"/>
      <w:lvlText w:val="•"/>
      <w:lvlJc w:val="left"/>
      <w:pPr>
        <w:ind w:left="5388" w:hanging="728"/>
      </w:pPr>
      <w:rPr>
        <w:rFonts w:hint="default"/>
        <w:lang w:val="en-US" w:eastAsia="en-US" w:bidi="ar-SA"/>
      </w:rPr>
    </w:lvl>
    <w:lvl w:ilvl="5" w:tplc="0206FFCA">
      <w:numFmt w:val="bullet"/>
      <w:lvlText w:val="•"/>
      <w:lvlJc w:val="left"/>
      <w:pPr>
        <w:ind w:left="6350" w:hanging="728"/>
      </w:pPr>
      <w:rPr>
        <w:rFonts w:hint="default"/>
        <w:lang w:val="en-US" w:eastAsia="en-US" w:bidi="ar-SA"/>
      </w:rPr>
    </w:lvl>
    <w:lvl w:ilvl="6" w:tplc="AB9E6076">
      <w:numFmt w:val="bullet"/>
      <w:lvlText w:val="•"/>
      <w:lvlJc w:val="left"/>
      <w:pPr>
        <w:ind w:left="7312" w:hanging="728"/>
      </w:pPr>
      <w:rPr>
        <w:rFonts w:hint="default"/>
        <w:lang w:val="en-US" w:eastAsia="en-US" w:bidi="ar-SA"/>
      </w:rPr>
    </w:lvl>
    <w:lvl w:ilvl="7" w:tplc="169499F8">
      <w:numFmt w:val="bullet"/>
      <w:lvlText w:val="•"/>
      <w:lvlJc w:val="left"/>
      <w:pPr>
        <w:ind w:left="8274" w:hanging="728"/>
      </w:pPr>
      <w:rPr>
        <w:rFonts w:hint="default"/>
        <w:lang w:val="en-US" w:eastAsia="en-US" w:bidi="ar-SA"/>
      </w:rPr>
    </w:lvl>
    <w:lvl w:ilvl="8" w:tplc="2D1A8668">
      <w:numFmt w:val="bullet"/>
      <w:lvlText w:val="•"/>
      <w:lvlJc w:val="left"/>
      <w:pPr>
        <w:ind w:left="9236" w:hanging="728"/>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QyMDKyMDMwMTGyNDFV0lEKTi0uzszPAykwrgUAj191iywAAAA="/>
  </w:docVars>
  <w:rsids>
    <w:rsidRoot w:val="00F21D43"/>
    <w:rsid w:val="006C45B4"/>
    <w:rsid w:val="00840686"/>
    <w:rsid w:val="008F7F5E"/>
    <w:rsid w:val="00C44A27"/>
    <w:rsid w:val="00C96C95"/>
    <w:rsid w:val="00E12976"/>
    <w:rsid w:val="00E34318"/>
    <w:rsid w:val="00E84697"/>
    <w:rsid w:val="00F21D43"/>
    <w:rsid w:val="00F55B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0C655"/>
  <w15:chartTrackingRefBased/>
  <w15:docId w15:val="{5AC607C3-C8A0-4B2D-94CB-1BF4FA1A1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D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21D43"/>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F21D43"/>
    <w:rPr>
      <w:rFonts w:ascii="Times New Roman" w:eastAsia="Times New Roman" w:hAnsi="Times New Roman" w:cs="Times New Roman"/>
      <w:sz w:val="24"/>
      <w:szCs w:val="24"/>
    </w:rPr>
  </w:style>
  <w:style w:type="paragraph" w:styleId="ListParagraph">
    <w:name w:val="List Paragraph"/>
    <w:basedOn w:val="Normal"/>
    <w:uiPriority w:val="1"/>
    <w:qFormat/>
    <w:rsid w:val="00E34318"/>
    <w:pPr>
      <w:widowControl w:val="0"/>
      <w:autoSpaceDE w:val="0"/>
      <w:autoSpaceDN w:val="0"/>
      <w:spacing w:after="0" w:line="240" w:lineRule="auto"/>
      <w:ind w:left="1539" w:hanging="640"/>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695</Words>
  <Characters>3964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Ghazal Ghazi</dc:creator>
  <cp:keywords/>
  <dc:description/>
  <cp:lastModifiedBy>Ghazal Ghazi</cp:lastModifiedBy>
  <cp:revision>7</cp:revision>
  <dcterms:created xsi:type="dcterms:W3CDTF">2022-03-08T08:38:00Z</dcterms:created>
  <dcterms:modified xsi:type="dcterms:W3CDTF">2022-03-08T09:50:00Z</dcterms:modified>
</cp:coreProperties>
</file>