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8A1" w:rsidRPr="0097372C" w:rsidRDefault="003A08A1" w:rsidP="00C3227D">
      <w:pPr>
        <w:autoSpaceDE w:val="0"/>
        <w:autoSpaceDN w:val="0"/>
        <w:adjustRightInd w:val="0"/>
        <w:spacing w:after="0" w:line="240" w:lineRule="auto"/>
        <w:jc w:val="center"/>
        <w:rPr>
          <w:rFonts w:ascii="Times New Roman" w:eastAsia="Times New Roman" w:hAnsi="Times New Roman"/>
          <w:b/>
          <w:sz w:val="24"/>
          <w:szCs w:val="28"/>
        </w:rPr>
      </w:pPr>
      <w:r w:rsidRPr="0097372C">
        <w:rPr>
          <w:rFonts w:ascii="Times New Roman" w:eastAsia="Times New Roman" w:hAnsi="Times New Roman"/>
          <w:b/>
          <w:sz w:val="24"/>
          <w:szCs w:val="28"/>
        </w:rPr>
        <w:t>Evaluation, Forecasting and Seasonal Analysis of an Extrusion Plastic Production Variables</w:t>
      </w:r>
    </w:p>
    <w:p w:rsidR="003A08A1" w:rsidRPr="0097372C" w:rsidRDefault="003A08A1" w:rsidP="00C3227D">
      <w:pPr>
        <w:autoSpaceDE w:val="0"/>
        <w:autoSpaceDN w:val="0"/>
        <w:adjustRightInd w:val="0"/>
        <w:spacing w:after="0" w:line="240" w:lineRule="auto"/>
        <w:jc w:val="center"/>
        <w:rPr>
          <w:rFonts w:ascii="Times New Roman" w:eastAsia="Times New Roman" w:hAnsi="Times New Roman"/>
          <w:b/>
          <w:sz w:val="24"/>
          <w:szCs w:val="28"/>
        </w:rPr>
      </w:pPr>
      <w:r w:rsidRPr="0097372C">
        <w:rPr>
          <w:rFonts w:ascii="Times New Roman" w:eastAsia="Times New Roman" w:hAnsi="Times New Roman"/>
          <w:b/>
          <w:sz w:val="24"/>
          <w:szCs w:val="28"/>
        </w:rPr>
        <w:t>By</w:t>
      </w:r>
    </w:p>
    <w:p w:rsidR="00C3227D" w:rsidRPr="00846BF0" w:rsidRDefault="00846BF0" w:rsidP="00C3227D">
      <w:pPr>
        <w:pBdr>
          <w:bar w:val="single" w:sz="4" w:color="auto"/>
        </w:pBdr>
        <w:spacing w:after="0" w:line="240" w:lineRule="auto"/>
        <w:jc w:val="center"/>
        <w:rPr>
          <w:rFonts w:ascii="Times New Roman" w:hAnsi="Times New Roman"/>
          <w:bCs/>
          <w:sz w:val="20"/>
          <w:szCs w:val="20"/>
        </w:rPr>
      </w:pPr>
      <w:r w:rsidRPr="00846BF0">
        <w:rPr>
          <w:rFonts w:ascii="Times New Roman" w:hAnsi="Times New Roman"/>
          <w:color w:val="000000"/>
          <w:sz w:val="20"/>
          <w:szCs w:val="20"/>
          <w:vertAlign w:val="superscript"/>
        </w:rPr>
        <w:t>1</w:t>
      </w:r>
      <w:r w:rsidRPr="00846BF0">
        <w:rPr>
          <w:rFonts w:ascii="Times New Roman" w:hAnsi="Times New Roman"/>
          <w:color w:val="000000"/>
          <w:sz w:val="20"/>
          <w:szCs w:val="20"/>
        </w:rPr>
        <w:t>Ejikeme, Ifeanyi Romanus and</w:t>
      </w:r>
      <w:r w:rsidRPr="00846BF0">
        <w:rPr>
          <w:rFonts w:ascii="Times New Roman" w:hAnsi="Times New Roman"/>
          <w:bCs/>
          <w:sz w:val="20"/>
          <w:szCs w:val="20"/>
          <w:vertAlign w:val="superscript"/>
        </w:rPr>
        <w:t xml:space="preserve"> </w:t>
      </w:r>
      <w:r w:rsidR="00C3227D" w:rsidRPr="00846BF0">
        <w:rPr>
          <w:rFonts w:ascii="Times New Roman" w:hAnsi="Times New Roman"/>
          <w:bCs/>
          <w:sz w:val="20"/>
          <w:szCs w:val="20"/>
          <w:vertAlign w:val="superscript"/>
        </w:rPr>
        <w:t>2</w:t>
      </w:r>
      <w:r w:rsidR="00C3227D" w:rsidRPr="00846BF0">
        <w:rPr>
          <w:rFonts w:ascii="Times New Roman" w:hAnsi="Times New Roman"/>
          <w:bCs/>
          <w:sz w:val="20"/>
          <w:szCs w:val="20"/>
        </w:rPr>
        <w:t>Ezeliora Chukwuemeka Daniel</w:t>
      </w:r>
    </w:p>
    <w:p w:rsidR="00C3227D" w:rsidRPr="00846BF0" w:rsidRDefault="00846BF0" w:rsidP="00C3227D">
      <w:pPr>
        <w:spacing w:after="0" w:line="240" w:lineRule="auto"/>
        <w:jc w:val="center"/>
        <w:rPr>
          <w:bCs/>
          <w:szCs w:val="20"/>
          <w:vertAlign w:val="superscript"/>
        </w:rPr>
      </w:pPr>
      <w:r w:rsidRPr="00846BF0">
        <w:rPr>
          <w:rFonts w:ascii="Times New Roman" w:hAnsi="Times New Roman"/>
          <w:bCs/>
          <w:sz w:val="20"/>
          <w:szCs w:val="20"/>
          <w:vertAlign w:val="superscript"/>
        </w:rPr>
        <w:t>1</w:t>
      </w:r>
      <w:r w:rsidR="00C3227D" w:rsidRPr="00846BF0">
        <w:rPr>
          <w:rFonts w:ascii="Times New Roman" w:hAnsi="Times New Roman"/>
          <w:bCs/>
          <w:sz w:val="20"/>
          <w:szCs w:val="20"/>
          <w:vertAlign w:val="superscript"/>
        </w:rPr>
        <w:t xml:space="preserve">2 </w:t>
      </w:r>
      <w:r w:rsidR="00C3227D" w:rsidRPr="00846BF0">
        <w:rPr>
          <w:rFonts w:ascii="Times New Roman" w:hAnsi="Times New Roman"/>
          <w:bCs/>
          <w:sz w:val="20"/>
          <w:szCs w:val="20"/>
        </w:rPr>
        <w:t xml:space="preserve">Department of Mechanical Engineering, </w:t>
      </w:r>
      <w:r w:rsidR="00E15DD8">
        <w:rPr>
          <w:rFonts w:ascii="Times New Roman" w:hAnsi="Times New Roman"/>
          <w:bCs/>
          <w:sz w:val="20"/>
          <w:szCs w:val="20"/>
        </w:rPr>
        <w:t>Federal Polytechnic</w:t>
      </w:r>
      <w:r w:rsidR="00C3227D" w:rsidRPr="00846BF0">
        <w:rPr>
          <w:rFonts w:ascii="Times New Roman" w:hAnsi="Times New Roman"/>
          <w:bCs/>
          <w:sz w:val="20"/>
          <w:szCs w:val="20"/>
        </w:rPr>
        <w:t>,</w:t>
      </w:r>
      <w:r w:rsidR="00E15DD8">
        <w:rPr>
          <w:rFonts w:ascii="Times New Roman" w:hAnsi="Times New Roman"/>
          <w:bCs/>
          <w:sz w:val="20"/>
          <w:szCs w:val="20"/>
        </w:rPr>
        <w:t xml:space="preserve"> Oko,</w:t>
      </w:r>
      <w:r w:rsidR="00C3227D" w:rsidRPr="00846BF0">
        <w:rPr>
          <w:rFonts w:ascii="Times New Roman" w:hAnsi="Times New Roman"/>
          <w:bCs/>
          <w:sz w:val="20"/>
          <w:szCs w:val="20"/>
        </w:rPr>
        <w:t xml:space="preserve"> Anambra State, Nigeria;</w:t>
      </w:r>
      <w:r>
        <w:rPr>
          <w:color w:val="000000"/>
          <w:sz w:val="28"/>
          <w:szCs w:val="28"/>
        </w:rPr>
        <w:t xml:space="preserve"> </w:t>
      </w:r>
      <w:r w:rsidRPr="00846BF0">
        <w:rPr>
          <w:rFonts w:ascii="Times New Roman" w:hAnsi="Times New Roman"/>
          <w:color w:val="000000" w:themeColor="text1"/>
          <w:sz w:val="20"/>
          <w:szCs w:val="24"/>
        </w:rPr>
        <w:t xml:space="preserve">email: </w:t>
      </w:r>
      <w:hyperlink r:id="rId7" w:history="1">
        <w:r w:rsidRPr="00846BF0">
          <w:rPr>
            <w:rStyle w:val="Hyperlink"/>
            <w:rFonts w:ascii="Times New Roman" w:hAnsi="Times New Roman"/>
            <w:color w:val="000000" w:themeColor="text1"/>
            <w:sz w:val="20"/>
            <w:szCs w:val="24"/>
            <w:u w:val="none"/>
          </w:rPr>
          <w:t>rojykengrg@gmail.com</w:t>
        </w:r>
      </w:hyperlink>
      <w:r w:rsidRPr="00846BF0">
        <w:rPr>
          <w:rFonts w:ascii="Times New Roman" w:hAnsi="Times New Roman"/>
          <w:color w:val="000000" w:themeColor="text1"/>
          <w:sz w:val="20"/>
          <w:szCs w:val="24"/>
        </w:rPr>
        <w:t xml:space="preserve"> +2348068947718</w:t>
      </w:r>
      <w:r w:rsidRPr="00846BF0">
        <w:rPr>
          <w:rFonts w:ascii="Times New Roman" w:hAnsi="Times New Roman"/>
          <w:color w:val="000000" w:themeColor="text1"/>
          <w:sz w:val="20"/>
          <w:szCs w:val="24"/>
          <w:vertAlign w:val="superscript"/>
        </w:rPr>
        <w:t xml:space="preserve">1 </w:t>
      </w:r>
      <w:r>
        <w:rPr>
          <w:rFonts w:ascii="Times New Roman" w:hAnsi="Times New Roman"/>
          <w:color w:val="000000" w:themeColor="text1"/>
          <w:sz w:val="20"/>
          <w:szCs w:val="24"/>
        </w:rPr>
        <w:t xml:space="preserve"> and </w:t>
      </w:r>
      <w:hyperlink r:id="rId8" w:history="1">
        <w:r w:rsidRPr="00846BF0">
          <w:rPr>
            <w:rStyle w:val="Hyperlink"/>
            <w:rFonts w:ascii="Times New Roman" w:hAnsi="Times New Roman"/>
            <w:color w:val="000000" w:themeColor="text1"/>
            <w:sz w:val="20"/>
            <w:szCs w:val="24"/>
            <w:u w:val="none"/>
          </w:rPr>
          <w:t>cezeliora@gmail.com</w:t>
        </w:r>
      </w:hyperlink>
      <w:r>
        <w:rPr>
          <w:rFonts w:ascii="Times New Roman" w:hAnsi="Times New Roman"/>
          <w:color w:val="000000" w:themeColor="text1"/>
          <w:sz w:val="20"/>
          <w:szCs w:val="24"/>
        </w:rPr>
        <w:t xml:space="preserve"> </w:t>
      </w:r>
      <w:r w:rsidRPr="00846BF0">
        <w:rPr>
          <w:rFonts w:ascii="Times New Roman" w:hAnsi="Times New Roman"/>
          <w:color w:val="000000" w:themeColor="text1"/>
          <w:sz w:val="20"/>
          <w:szCs w:val="24"/>
        </w:rPr>
        <w:t>+</w:t>
      </w:r>
      <w:r w:rsidR="00C3227D" w:rsidRPr="00846BF0">
        <w:rPr>
          <w:rFonts w:ascii="Times New Roman" w:hAnsi="Times New Roman"/>
          <w:bCs/>
          <w:color w:val="000000" w:themeColor="text1"/>
          <w:sz w:val="20"/>
          <w:szCs w:val="24"/>
        </w:rPr>
        <w:t>2348060480087</w:t>
      </w:r>
      <w:r>
        <w:rPr>
          <w:rFonts w:ascii="Times New Roman" w:hAnsi="Times New Roman"/>
          <w:bCs/>
          <w:color w:val="000000" w:themeColor="text1"/>
          <w:sz w:val="20"/>
          <w:szCs w:val="24"/>
          <w:vertAlign w:val="superscript"/>
        </w:rPr>
        <w:t>2</w:t>
      </w:r>
    </w:p>
    <w:p w:rsidR="003A08A1" w:rsidRPr="00DD1539" w:rsidRDefault="003A08A1" w:rsidP="0097372C">
      <w:pPr>
        <w:autoSpaceDE w:val="0"/>
        <w:autoSpaceDN w:val="0"/>
        <w:adjustRightInd w:val="0"/>
        <w:spacing w:after="0" w:line="240" w:lineRule="auto"/>
        <w:rPr>
          <w:rFonts w:ascii="Times New Roman" w:eastAsia="Times New Roman" w:hAnsi="Times New Roman"/>
          <w:b/>
          <w:sz w:val="20"/>
          <w:szCs w:val="24"/>
        </w:rPr>
      </w:pPr>
      <w:r w:rsidRPr="00DD1539">
        <w:rPr>
          <w:rFonts w:ascii="Times New Roman" w:eastAsia="Times New Roman" w:hAnsi="Times New Roman"/>
          <w:b/>
          <w:sz w:val="20"/>
          <w:szCs w:val="24"/>
        </w:rPr>
        <w:t>Abstract</w:t>
      </w:r>
    </w:p>
    <w:p w:rsidR="003A08A1" w:rsidRPr="00DD1539" w:rsidRDefault="003A08A1" w:rsidP="0088006B">
      <w:pPr>
        <w:jc w:val="both"/>
        <w:rPr>
          <w:rFonts w:ascii="Times New Roman" w:eastAsia="Times New Roman" w:hAnsi="Times New Roman"/>
          <w:sz w:val="20"/>
          <w:szCs w:val="24"/>
        </w:rPr>
      </w:pPr>
      <w:r w:rsidRPr="00DD1539">
        <w:rPr>
          <w:rFonts w:ascii="Times New Roman" w:eastAsia="Times New Roman" w:hAnsi="Times New Roman"/>
          <w:sz w:val="20"/>
          <w:szCs w:val="24"/>
        </w:rPr>
        <w:t xml:space="preserve">The </w:t>
      </w:r>
      <w:r w:rsidR="00030E9A" w:rsidRPr="00DD1539">
        <w:rPr>
          <w:rFonts w:ascii="Times New Roman" w:eastAsia="Times New Roman" w:hAnsi="Times New Roman"/>
          <w:sz w:val="20"/>
          <w:szCs w:val="24"/>
        </w:rPr>
        <w:t>study forecast and expresses</w:t>
      </w:r>
      <w:r w:rsidRPr="00DD1539">
        <w:rPr>
          <w:rFonts w:ascii="Times New Roman" w:eastAsia="Times New Roman" w:hAnsi="Times New Roman"/>
          <w:sz w:val="20"/>
          <w:szCs w:val="24"/>
        </w:rPr>
        <w:t xml:space="preserve"> the seasonal analysis of the extrusion plastic production variables in Innoson Plastic Manufacturing Company, Nnewi, Anambra State, Nigeria. The research method adopted is the application of statistical tools to forecast and </w:t>
      </w:r>
      <w:r w:rsidR="00030E9A" w:rsidRPr="00DD1539">
        <w:rPr>
          <w:rFonts w:ascii="Times New Roman" w:eastAsia="Times New Roman" w:hAnsi="Times New Roman"/>
          <w:sz w:val="20"/>
          <w:szCs w:val="24"/>
        </w:rPr>
        <w:t xml:space="preserve">to </w:t>
      </w:r>
      <w:r w:rsidRPr="00DD1539">
        <w:rPr>
          <w:rFonts w:ascii="Times New Roman" w:eastAsia="Times New Roman" w:hAnsi="Times New Roman"/>
          <w:sz w:val="20"/>
          <w:szCs w:val="24"/>
        </w:rPr>
        <w:t xml:space="preserve">express the seasonal influence of the variables. It statistically </w:t>
      </w:r>
      <w:r w:rsidR="00030E9A" w:rsidRPr="00DD1539">
        <w:rPr>
          <w:rFonts w:ascii="Times New Roman" w:eastAsia="Times New Roman" w:hAnsi="Times New Roman"/>
          <w:sz w:val="20"/>
          <w:szCs w:val="24"/>
        </w:rPr>
        <w:t>reveals</w:t>
      </w:r>
      <w:r w:rsidRPr="00DD1539">
        <w:rPr>
          <w:rFonts w:ascii="Times New Roman" w:eastAsia="Times New Roman" w:hAnsi="Times New Roman"/>
          <w:sz w:val="20"/>
          <w:szCs w:val="24"/>
        </w:rPr>
        <w:t xml:space="preserve"> the extrusion plastic production variable to understand what the data portrays and its </w:t>
      </w:r>
      <w:r w:rsidR="00D83D29" w:rsidRPr="00DD1539">
        <w:rPr>
          <w:rFonts w:ascii="Times New Roman" w:eastAsia="Times New Roman" w:hAnsi="Times New Roman"/>
          <w:sz w:val="20"/>
          <w:szCs w:val="24"/>
        </w:rPr>
        <w:t xml:space="preserve">influence on the variables. Time series decomposition analysis and winter’s </w:t>
      </w:r>
      <w:r w:rsidRPr="00DD1539">
        <w:rPr>
          <w:rFonts w:ascii="Times New Roman" w:eastAsia="Times New Roman" w:hAnsi="Times New Roman"/>
          <w:sz w:val="20"/>
          <w:szCs w:val="24"/>
        </w:rPr>
        <w:t>forecasting method</w:t>
      </w:r>
      <w:r w:rsidR="00D83D29" w:rsidRPr="00DD1539">
        <w:rPr>
          <w:rFonts w:ascii="Times New Roman" w:eastAsia="Times New Roman" w:hAnsi="Times New Roman"/>
          <w:sz w:val="20"/>
          <w:szCs w:val="24"/>
        </w:rPr>
        <w:t>s used show</w:t>
      </w:r>
      <w:r w:rsidRPr="00DD1539">
        <w:rPr>
          <w:rFonts w:ascii="Times New Roman" w:eastAsia="Times New Roman" w:hAnsi="Times New Roman"/>
          <w:sz w:val="20"/>
          <w:szCs w:val="24"/>
        </w:rPr>
        <w:t xml:space="preserve"> that the </w:t>
      </w:r>
      <w:r w:rsidR="00D83D29" w:rsidRPr="00DD1539">
        <w:rPr>
          <w:rFonts w:ascii="Times New Roman" w:eastAsia="Times New Roman" w:hAnsi="Times New Roman"/>
          <w:sz w:val="20"/>
          <w:szCs w:val="24"/>
        </w:rPr>
        <w:t xml:space="preserve">appropriate </w:t>
      </w:r>
      <w:r w:rsidRPr="00DD1539">
        <w:rPr>
          <w:rFonts w:ascii="Times New Roman" w:eastAsia="Times New Roman" w:hAnsi="Times New Roman"/>
          <w:sz w:val="20"/>
          <w:szCs w:val="24"/>
        </w:rPr>
        <w:t xml:space="preserve">quantity of </w:t>
      </w:r>
      <w:r w:rsidR="00D83D29" w:rsidRPr="00DD1539">
        <w:rPr>
          <w:rFonts w:ascii="Times New Roman" w:eastAsia="Times New Roman" w:hAnsi="Times New Roman"/>
          <w:sz w:val="20"/>
          <w:szCs w:val="24"/>
        </w:rPr>
        <w:t xml:space="preserve">the </w:t>
      </w:r>
      <w:r w:rsidRPr="00DD1539">
        <w:rPr>
          <w:rFonts w:ascii="Times New Roman" w:eastAsia="Times New Roman" w:hAnsi="Times New Roman"/>
          <w:sz w:val="20"/>
          <w:szCs w:val="24"/>
        </w:rPr>
        <w:t>product</w:t>
      </w:r>
      <w:r w:rsidR="00D83D29" w:rsidRPr="00DD1539">
        <w:rPr>
          <w:rFonts w:ascii="Times New Roman" w:eastAsia="Times New Roman" w:hAnsi="Times New Roman"/>
          <w:sz w:val="20"/>
          <w:szCs w:val="24"/>
        </w:rPr>
        <w:t xml:space="preserve"> that is necessary</w:t>
      </w:r>
      <w:r w:rsidR="00B369E5" w:rsidRPr="00DD1539">
        <w:rPr>
          <w:rFonts w:ascii="Times New Roman" w:eastAsia="Times New Roman" w:hAnsi="Times New Roman"/>
          <w:sz w:val="20"/>
          <w:szCs w:val="24"/>
        </w:rPr>
        <w:t xml:space="preserve"> to </w:t>
      </w:r>
      <w:r w:rsidR="00D83D29" w:rsidRPr="00DD1539">
        <w:rPr>
          <w:rFonts w:ascii="Times New Roman" w:eastAsia="Times New Roman" w:hAnsi="Times New Roman"/>
          <w:sz w:val="20"/>
          <w:szCs w:val="24"/>
        </w:rPr>
        <w:t>be produced</w:t>
      </w:r>
      <w:r w:rsidR="00B369E5" w:rsidRPr="00DD1539">
        <w:rPr>
          <w:rFonts w:ascii="Times New Roman" w:eastAsia="Times New Roman" w:hAnsi="Times New Roman"/>
          <w:sz w:val="20"/>
          <w:szCs w:val="24"/>
        </w:rPr>
        <w:t xml:space="preserve"> </w:t>
      </w:r>
      <w:r w:rsidR="00030E9A" w:rsidRPr="00DD1539">
        <w:rPr>
          <w:rFonts w:ascii="Times New Roman" w:eastAsia="Times New Roman" w:hAnsi="Times New Roman"/>
          <w:sz w:val="20"/>
          <w:szCs w:val="24"/>
        </w:rPr>
        <w:t xml:space="preserve">in January 2019 </w:t>
      </w:r>
      <w:r w:rsidR="00D83D29" w:rsidRPr="00DD1539">
        <w:rPr>
          <w:rFonts w:ascii="Times New Roman" w:eastAsia="Times New Roman" w:hAnsi="Times New Roman"/>
          <w:sz w:val="20"/>
          <w:szCs w:val="24"/>
        </w:rPr>
        <w:t xml:space="preserve">is </w:t>
      </w:r>
      <w:r w:rsidR="00030E9A" w:rsidRPr="00DD1539">
        <w:rPr>
          <w:rFonts w:ascii="Times New Roman" w:eastAsiaTheme="minorHAnsi" w:hAnsi="Times New Roman"/>
          <w:sz w:val="20"/>
          <w:szCs w:val="24"/>
        </w:rPr>
        <w:t>9416.11</w:t>
      </w:r>
      <w:r w:rsidR="00D83D29" w:rsidRPr="00DD1539">
        <w:rPr>
          <w:rFonts w:ascii="Times New Roman" w:eastAsiaTheme="minorHAnsi" w:hAnsi="Times New Roman"/>
          <w:sz w:val="20"/>
          <w:szCs w:val="24"/>
        </w:rPr>
        <w:t xml:space="preserve"> and </w:t>
      </w:r>
      <w:r w:rsidR="00030E9A" w:rsidRPr="00DD1539">
        <w:rPr>
          <w:rFonts w:ascii="Times New Roman" w:eastAsiaTheme="minorHAnsi" w:hAnsi="Times New Roman"/>
          <w:sz w:val="20"/>
          <w:szCs w:val="24"/>
        </w:rPr>
        <w:t>10521.2</w:t>
      </w:r>
      <w:r w:rsidR="00D83D29" w:rsidRPr="00DD1539">
        <w:rPr>
          <w:rFonts w:ascii="Times New Roman" w:eastAsiaTheme="minorHAnsi" w:hAnsi="Times New Roman"/>
          <w:sz w:val="20"/>
          <w:szCs w:val="24"/>
        </w:rPr>
        <w:t>units respectively.</w:t>
      </w:r>
      <w:r w:rsidR="00B369E5" w:rsidRPr="00DD1539">
        <w:rPr>
          <w:rFonts w:ascii="Times New Roman" w:eastAsia="Times New Roman" w:hAnsi="Times New Roman"/>
          <w:sz w:val="20"/>
          <w:szCs w:val="24"/>
        </w:rPr>
        <w:t xml:space="preserve"> However, the seasonal analysis expressed that the seasonal in</w:t>
      </w:r>
      <w:r w:rsidR="00030E9A" w:rsidRPr="00DD1539">
        <w:rPr>
          <w:rFonts w:ascii="Times New Roman" w:eastAsia="Times New Roman" w:hAnsi="Times New Roman"/>
          <w:sz w:val="20"/>
          <w:szCs w:val="24"/>
        </w:rPr>
        <w:t>dex</w:t>
      </w:r>
      <w:r w:rsidR="00B369E5" w:rsidRPr="00DD1539">
        <w:rPr>
          <w:rFonts w:ascii="Times New Roman" w:eastAsia="Times New Roman" w:hAnsi="Times New Roman"/>
          <w:sz w:val="20"/>
          <w:szCs w:val="24"/>
        </w:rPr>
        <w:t xml:space="preserve"> is high at the month of</w:t>
      </w:r>
      <w:r w:rsidR="0088006B" w:rsidRPr="00DD1539">
        <w:rPr>
          <w:rFonts w:ascii="Times New Roman" w:eastAsia="Times New Roman" w:hAnsi="Times New Roman"/>
          <w:sz w:val="20"/>
          <w:szCs w:val="24"/>
        </w:rPr>
        <w:t xml:space="preserve"> October</w:t>
      </w:r>
      <w:r w:rsidR="00B369E5" w:rsidRPr="00DD1539">
        <w:rPr>
          <w:rFonts w:ascii="Times New Roman" w:eastAsia="Times New Roman" w:hAnsi="Times New Roman"/>
          <w:sz w:val="20"/>
          <w:szCs w:val="24"/>
        </w:rPr>
        <w:t xml:space="preserve"> and low at the month of</w:t>
      </w:r>
      <w:r w:rsidR="0088006B" w:rsidRPr="00DD1539">
        <w:rPr>
          <w:rFonts w:ascii="Times New Roman" w:eastAsia="Times New Roman" w:hAnsi="Times New Roman"/>
          <w:sz w:val="20"/>
          <w:szCs w:val="24"/>
        </w:rPr>
        <w:t xml:space="preserve"> November</w:t>
      </w:r>
      <w:r w:rsidR="00B369E5" w:rsidRPr="00DD1539">
        <w:rPr>
          <w:rFonts w:ascii="Times New Roman" w:eastAsia="Times New Roman" w:hAnsi="Times New Roman"/>
          <w:sz w:val="20"/>
          <w:szCs w:val="24"/>
        </w:rPr>
        <w:t xml:space="preserve">. The results shows that the industry should be conscious of highly influence </w:t>
      </w:r>
      <w:r w:rsidR="0088006B" w:rsidRPr="00DD1539">
        <w:rPr>
          <w:rFonts w:ascii="Times New Roman" w:eastAsia="Times New Roman" w:hAnsi="Times New Roman"/>
          <w:sz w:val="20"/>
          <w:szCs w:val="24"/>
        </w:rPr>
        <w:t xml:space="preserve">of </w:t>
      </w:r>
      <w:r w:rsidR="00B369E5" w:rsidRPr="00DD1539">
        <w:rPr>
          <w:rFonts w:ascii="Times New Roman" w:eastAsia="Times New Roman" w:hAnsi="Times New Roman"/>
          <w:sz w:val="20"/>
          <w:szCs w:val="24"/>
        </w:rPr>
        <w:t>input variable</w:t>
      </w:r>
      <w:r w:rsidR="0088006B" w:rsidRPr="00DD1539">
        <w:rPr>
          <w:rFonts w:ascii="Times New Roman" w:eastAsia="Times New Roman" w:hAnsi="Times New Roman"/>
          <w:sz w:val="20"/>
          <w:szCs w:val="24"/>
        </w:rPr>
        <w:t>s</w:t>
      </w:r>
      <w:r w:rsidR="00B369E5" w:rsidRPr="00DD1539">
        <w:rPr>
          <w:rFonts w:ascii="Times New Roman" w:eastAsia="Times New Roman" w:hAnsi="Times New Roman"/>
          <w:sz w:val="20"/>
          <w:szCs w:val="24"/>
        </w:rPr>
        <w:t xml:space="preserve"> and seasonal influence during production </w:t>
      </w:r>
    </w:p>
    <w:p w:rsidR="003A08A1" w:rsidRPr="0097372C" w:rsidRDefault="00E81A94" w:rsidP="00C3227D">
      <w:pPr>
        <w:autoSpaceDE w:val="0"/>
        <w:autoSpaceDN w:val="0"/>
        <w:adjustRightInd w:val="0"/>
        <w:spacing w:after="0" w:line="360" w:lineRule="auto"/>
        <w:jc w:val="both"/>
        <w:rPr>
          <w:rFonts w:ascii="Times New Roman" w:eastAsia="Times New Roman" w:hAnsi="Times New Roman"/>
          <w:b/>
          <w:sz w:val="24"/>
          <w:szCs w:val="24"/>
        </w:rPr>
      </w:pPr>
      <w:r w:rsidRPr="00DD1539">
        <w:rPr>
          <w:rFonts w:ascii="Times New Roman" w:eastAsia="Times New Roman" w:hAnsi="Times New Roman"/>
          <w:b/>
          <w:sz w:val="20"/>
          <w:szCs w:val="24"/>
        </w:rPr>
        <w:t xml:space="preserve">Keywords: </w:t>
      </w:r>
      <w:r w:rsidRPr="00DD1539">
        <w:rPr>
          <w:rFonts w:ascii="Times New Roman" w:eastAsia="Times New Roman" w:hAnsi="Times New Roman"/>
          <w:sz w:val="20"/>
          <w:szCs w:val="24"/>
        </w:rPr>
        <w:t xml:space="preserve">Forecast, winter method, Time series, Decomposition Analysis, Regression, Plastic, </w:t>
      </w:r>
      <w:r w:rsidRPr="0097372C">
        <w:rPr>
          <w:rFonts w:ascii="Times New Roman" w:eastAsia="Times New Roman" w:hAnsi="Times New Roman"/>
          <w:sz w:val="24"/>
          <w:szCs w:val="24"/>
        </w:rPr>
        <w:t>Production</w:t>
      </w:r>
    </w:p>
    <w:p w:rsidR="003A08A1" w:rsidRPr="00DD1539" w:rsidRDefault="00E81A94" w:rsidP="00C3227D">
      <w:pPr>
        <w:pStyle w:val="ListParagraph"/>
        <w:numPr>
          <w:ilvl w:val="0"/>
          <w:numId w:val="2"/>
        </w:numPr>
        <w:autoSpaceDE w:val="0"/>
        <w:autoSpaceDN w:val="0"/>
        <w:adjustRightInd w:val="0"/>
        <w:spacing w:after="0" w:line="360" w:lineRule="auto"/>
        <w:jc w:val="both"/>
        <w:rPr>
          <w:rFonts w:ascii="Times New Roman" w:eastAsia="Times New Roman" w:hAnsi="Times New Roman"/>
          <w:b/>
        </w:rPr>
      </w:pPr>
      <w:r w:rsidRPr="00DD1539">
        <w:rPr>
          <w:rFonts w:ascii="Times New Roman" w:eastAsia="Times New Roman" w:hAnsi="Times New Roman"/>
          <w:b/>
        </w:rPr>
        <w:t>Introduction</w:t>
      </w:r>
    </w:p>
    <w:p w:rsidR="00E81A94" w:rsidRDefault="00E81A94" w:rsidP="00D56E78">
      <w:pPr>
        <w:autoSpaceDE w:val="0"/>
        <w:autoSpaceDN w:val="0"/>
        <w:adjustRightInd w:val="0"/>
        <w:spacing w:after="0" w:line="360" w:lineRule="auto"/>
        <w:jc w:val="both"/>
        <w:rPr>
          <w:rFonts w:ascii="Times New Roman" w:eastAsia="Times New Roman" w:hAnsi="Times New Roman"/>
        </w:rPr>
      </w:pPr>
      <w:r w:rsidRPr="00DD1539">
        <w:rPr>
          <w:rFonts w:ascii="Times New Roman" w:eastAsia="Times New Roman" w:hAnsi="Times New Roman"/>
        </w:rPr>
        <w:t>In industrialization, the need to understand the trend of production and industrial growth with its development is of paramount importance to the industrial sector</w:t>
      </w:r>
      <w:r w:rsidR="005C38FE" w:rsidRPr="00DD1539">
        <w:rPr>
          <w:rFonts w:ascii="Times New Roman" w:eastAsia="Times New Roman" w:hAnsi="Times New Roman"/>
        </w:rPr>
        <w:t>s</w:t>
      </w:r>
      <w:r w:rsidRPr="00DD1539">
        <w:rPr>
          <w:rFonts w:ascii="Times New Roman" w:eastAsia="Times New Roman" w:hAnsi="Times New Roman"/>
        </w:rPr>
        <w:t>. This is the key element to keep the industry ali</w:t>
      </w:r>
      <w:r w:rsidR="005C38FE" w:rsidRPr="00DD1539">
        <w:rPr>
          <w:rFonts w:ascii="Times New Roman" w:eastAsia="Times New Roman" w:hAnsi="Times New Roman"/>
        </w:rPr>
        <w:t>v</w:t>
      </w:r>
      <w:r w:rsidRPr="00DD1539">
        <w:rPr>
          <w:rFonts w:ascii="Times New Roman" w:eastAsia="Times New Roman" w:hAnsi="Times New Roman"/>
        </w:rPr>
        <w:t>e, to remain competitive, to enh</w:t>
      </w:r>
      <w:r w:rsidR="005C38FE" w:rsidRPr="00DD1539">
        <w:rPr>
          <w:rFonts w:ascii="Times New Roman" w:eastAsia="Times New Roman" w:hAnsi="Times New Roman"/>
        </w:rPr>
        <w:t>a</w:t>
      </w:r>
      <w:r w:rsidRPr="00DD1539">
        <w:rPr>
          <w:rFonts w:ascii="Times New Roman" w:eastAsia="Times New Roman" w:hAnsi="Times New Roman"/>
        </w:rPr>
        <w:t xml:space="preserve">nce its </w:t>
      </w:r>
      <w:r w:rsidR="005C38FE" w:rsidRPr="00DD1539">
        <w:rPr>
          <w:rFonts w:ascii="Times New Roman" w:eastAsia="Times New Roman" w:hAnsi="Times New Roman"/>
        </w:rPr>
        <w:t>profitability</w:t>
      </w:r>
      <w:r w:rsidRPr="00DD1539">
        <w:rPr>
          <w:rFonts w:ascii="Times New Roman" w:eastAsia="Times New Roman" w:hAnsi="Times New Roman"/>
        </w:rPr>
        <w:t xml:space="preserve"> and to grow industrialization with </w:t>
      </w:r>
      <w:r w:rsidR="005C38FE" w:rsidRPr="00DD1539">
        <w:rPr>
          <w:rFonts w:ascii="Times New Roman" w:eastAsia="Times New Roman" w:hAnsi="Times New Roman"/>
        </w:rPr>
        <w:t>its</w:t>
      </w:r>
      <w:r w:rsidRPr="00DD1539">
        <w:rPr>
          <w:rFonts w:ascii="Times New Roman" w:eastAsia="Times New Roman" w:hAnsi="Times New Roman"/>
        </w:rPr>
        <w:t xml:space="preserve"> economy of </w:t>
      </w:r>
      <w:r w:rsidR="005C38FE" w:rsidRPr="00DD1539">
        <w:rPr>
          <w:rFonts w:ascii="Times New Roman" w:eastAsia="Times New Roman" w:hAnsi="Times New Roman"/>
        </w:rPr>
        <w:t>the</w:t>
      </w:r>
      <w:r w:rsidRPr="00DD1539">
        <w:rPr>
          <w:rFonts w:ascii="Times New Roman" w:eastAsia="Times New Roman" w:hAnsi="Times New Roman"/>
        </w:rPr>
        <w:t xml:space="preserve"> nation</w:t>
      </w:r>
      <w:r w:rsidR="005C38FE" w:rsidRPr="00DD1539">
        <w:rPr>
          <w:rFonts w:ascii="Times New Roman" w:eastAsia="Times New Roman" w:hAnsi="Times New Roman"/>
        </w:rPr>
        <w:t>. This gave rise to the applications of some selected forecasting methods that will help to understand the appropriate production variables in the case study.</w:t>
      </w:r>
    </w:p>
    <w:p w:rsidR="0097372C" w:rsidRPr="00DD1539" w:rsidRDefault="0097372C" w:rsidP="00D56E78">
      <w:pPr>
        <w:pStyle w:val="NormalWeb"/>
        <w:spacing w:before="0" w:beforeAutospacing="0" w:after="0" w:afterAutospacing="0" w:line="360" w:lineRule="auto"/>
        <w:jc w:val="both"/>
        <w:rPr>
          <w:sz w:val="22"/>
          <w:szCs w:val="22"/>
        </w:rPr>
      </w:pPr>
      <w:r w:rsidRPr="00DD1539">
        <w:rPr>
          <w:b/>
          <w:bCs/>
          <w:sz w:val="22"/>
          <w:szCs w:val="22"/>
        </w:rPr>
        <w:t>Forecasting</w:t>
      </w:r>
      <w:r w:rsidRPr="00DD1539">
        <w:rPr>
          <w:sz w:val="22"/>
          <w:szCs w:val="22"/>
        </w:rPr>
        <w:t xml:space="preserve"> is the process of making statements about events whose actual outcomes (typically) have not yet been observed. A commonplace example might be </w:t>
      </w:r>
      <w:hyperlink r:id="rId9" w:tooltip="Approximation" w:history="1">
        <w:r w:rsidRPr="00DD1539">
          <w:rPr>
            <w:rStyle w:val="Hyperlink"/>
            <w:color w:val="auto"/>
            <w:sz w:val="22"/>
            <w:szCs w:val="22"/>
            <w:u w:val="none"/>
          </w:rPr>
          <w:t>estimation</w:t>
        </w:r>
      </w:hyperlink>
      <w:r w:rsidRPr="00DD1539">
        <w:rPr>
          <w:sz w:val="22"/>
          <w:szCs w:val="22"/>
        </w:rPr>
        <w:t xml:space="preserve"> of some variable of interest at some specified future date. </w:t>
      </w:r>
      <w:hyperlink r:id="rId10" w:tooltip="Prediction" w:history="1">
        <w:r w:rsidRPr="00DD1539">
          <w:rPr>
            <w:rStyle w:val="Hyperlink"/>
            <w:color w:val="auto"/>
            <w:sz w:val="22"/>
            <w:szCs w:val="22"/>
            <w:u w:val="none"/>
          </w:rPr>
          <w:t>Prediction</w:t>
        </w:r>
      </w:hyperlink>
      <w:r w:rsidRPr="00DD1539">
        <w:rPr>
          <w:sz w:val="22"/>
          <w:szCs w:val="22"/>
        </w:rPr>
        <w:t xml:space="preserve"> is a similar, but more general term. Both might refer to formal statistical methods employing </w:t>
      </w:r>
      <w:hyperlink r:id="rId11" w:tooltip="Time series" w:history="1">
        <w:r w:rsidRPr="00DD1539">
          <w:rPr>
            <w:rStyle w:val="Hyperlink"/>
            <w:color w:val="auto"/>
            <w:sz w:val="22"/>
            <w:szCs w:val="22"/>
            <w:u w:val="none"/>
          </w:rPr>
          <w:t>time series</w:t>
        </w:r>
      </w:hyperlink>
      <w:r w:rsidRPr="00DD1539">
        <w:rPr>
          <w:sz w:val="22"/>
          <w:szCs w:val="22"/>
        </w:rPr>
        <w:t xml:space="preserve">, </w:t>
      </w:r>
      <w:hyperlink r:id="rId12" w:tooltip="Cross-sectional data" w:history="1">
        <w:r w:rsidRPr="00DD1539">
          <w:rPr>
            <w:rStyle w:val="Hyperlink"/>
            <w:color w:val="auto"/>
            <w:sz w:val="22"/>
            <w:szCs w:val="22"/>
            <w:u w:val="none"/>
          </w:rPr>
          <w:t>cross-sectional</w:t>
        </w:r>
      </w:hyperlink>
      <w:r w:rsidRPr="00DD1539">
        <w:rPr>
          <w:sz w:val="22"/>
          <w:szCs w:val="22"/>
        </w:rPr>
        <w:t xml:space="preserve"> or </w:t>
      </w:r>
      <w:hyperlink r:id="rId13" w:tooltip="Longitudinal study" w:history="1">
        <w:r w:rsidRPr="00DD1539">
          <w:rPr>
            <w:rStyle w:val="Hyperlink"/>
            <w:color w:val="auto"/>
            <w:sz w:val="22"/>
            <w:szCs w:val="22"/>
            <w:u w:val="none"/>
          </w:rPr>
          <w:t>longitudinal</w:t>
        </w:r>
      </w:hyperlink>
      <w:r w:rsidRPr="00DD1539">
        <w:rPr>
          <w:sz w:val="22"/>
          <w:szCs w:val="22"/>
        </w:rPr>
        <w:t xml:space="preserve"> data, or alternatively to less formal judgmental methods. Usage can differ between areas of application: for example, in </w:t>
      </w:r>
      <w:hyperlink r:id="rId14" w:tooltip="Hydrology" w:history="1">
        <w:r w:rsidRPr="00DD1539">
          <w:rPr>
            <w:rStyle w:val="Hyperlink"/>
            <w:color w:val="auto"/>
            <w:sz w:val="22"/>
            <w:szCs w:val="22"/>
            <w:u w:val="none"/>
          </w:rPr>
          <w:t>hydrology</w:t>
        </w:r>
      </w:hyperlink>
      <w:r w:rsidRPr="00DD1539">
        <w:rPr>
          <w:sz w:val="22"/>
          <w:szCs w:val="22"/>
        </w:rPr>
        <w:t xml:space="preserve">, the terms "forecast" and "forecasting" are sometimes reserved for estimates of values at certain specific </w:t>
      </w:r>
      <w:hyperlink r:id="rId15" w:tooltip="Future" w:history="1">
        <w:r w:rsidRPr="00DD1539">
          <w:rPr>
            <w:rStyle w:val="Hyperlink"/>
            <w:color w:val="auto"/>
            <w:sz w:val="22"/>
            <w:szCs w:val="22"/>
            <w:u w:val="none"/>
          </w:rPr>
          <w:t>future</w:t>
        </w:r>
      </w:hyperlink>
      <w:r w:rsidRPr="00DD1539">
        <w:rPr>
          <w:sz w:val="22"/>
          <w:szCs w:val="22"/>
        </w:rPr>
        <w:t xml:space="preserve"> times, while the term "prediction" is used for more general estimates, such as the number of times floods will occur over a long period.</w:t>
      </w:r>
    </w:p>
    <w:p w:rsidR="0097372C" w:rsidRPr="00DD1539" w:rsidRDefault="008618C8" w:rsidP="00D56E78">
      <w:pPr>
        <w:pStyle w:val="NormalWeb"/>
        <w:spacing w:before="0" w:beforeAutospacing="0" w:after="0" w:afterAutospacing="0" w:line="360" w:lineRule="auto"/>
        <w:jc w:val="both"/>
        <w:rPr>
          <w:sz w:val="22"/>
          <w:szCs w:val="22"/>
        </w:rPr>
      </w:pPr>
      <w:hyperlink r:id="rId16" w:tooltip="Risk" w:history="1">
        <w:r w:rsidR="0097372C" w:rsidRPr="00DD1539">
          <w:rPr>
            <w:rStyle w:val="Hyperlink"/>
            <w:color w:val="auto"/>
            <w:sz w:val="22"/>
            <w:szCs w:val="22"/>
            <w:u w:val="none"/>
          </w:rPr>
          <w:t>Risk</w:t>
        </w:r>
      </w:hyperlink>
      <w:r w:rsidR="0097372C" w:rsidRPr="00DD1539">
        <w:rPr>
          <w:sz w:val="22"/>
          <w:szCs w:val="22"/>
        </w:rPr>
        <w:t xml:space="preserve"> and </w:t>
      </w:r>
      <w:hyperlink r:id="rId17" w:tooltip="Uncertainty" w:history="1">
        <w:r w:rsidR="0097372C" w:rsidRPr="00DD1539">
          <w:rPr>
            <w:rStyle w:val="Hyperlink"/>
            <w:color w:val="auto"/>
            <w:sz w:val="22"/>
            <w:szCs w:val="22"/>
            <w:u w:val="none"/>
          </w:rPr>
          <w:t>uncertainty</w:t>
        </w:r>
      </w:hyperlink>
      <w:r w:rsidR="0097372C" w:rsidRPr="00DD1539">
        <w:rPr>
          <w:sz w:val="22"/>
          <w:szCs w:val="22"/>
        </w:rPr>
        <w:t xml:space="preserve"> are central to forecasting and prediction; it is generally considered good practice to indicate the degree of uncertainty attaching to forecasts. In any case, the data must be up to date in order for the forecast to be as accurate as possible.</w:t>
      </w:r>
      <w:hyperlink r:id="rId18" w:anchor="cite_note-1" w:history="1">
        <w:r w:rsidR="0097372C" w:rsidRPr="00DD1539">
          <w:rPr>
            <w:rStyle w:val="Hyperlink"/>
            <w:color w:val="auto"/>
            <w:sz w:val="22"/>
            <w:szCs w:val="22"/>
            <w:u w:val="none"/>
          </w:rPr>
          <w:t>[1]</w:t>
        </w:r>
      </w:hyperlink>
    </w:p>
    <w:p w:rsidR="0097372C" w:rsidRPr="00DD1539" w:rsidRDefault="0097372C" w:rsidP="00D56E78">
      <w:pPr>
        <w:pStyle w:val="Heading3"/>
        <w:spacing w:after="0" w:line="360" w:lineRule="auto"/>
        <w:jc w:val="both"/>
        <w:rPr>
          <w:sz w:val="22"/>
          <w:szCs w:val="22"/>
        </w:rPr>
      </w:pPr>
      <w:r w:rsidRPr="00DD1539">
        <w:rPr>
          <w:rStyle w:val="mw-headline"/>
          <w:sz w:val="22"/>
          <w:szCs w:val="22"/>
        </w:rPr>
        <w:lastRenderedPageBreak/>
        <w:t xml:space="preserve">Categories of Forecasting Methods: </w:t>
      </w:r>
      <w:r w:rsidRPr="00DD1539">
        <w:rPr>
          <w:sz w:val="22"/>
          <w:szCs w:val="22"/>
        </w:rPr>
        <w:t xml:space="preserve">Qualitative forecasting </w:t>
      </w:r>
      <w:r w:rsidRPr="00DD1539">
        <w:rPr>
          <w:b w:val="0"/>
          <w:sz w:val="22"/>
          <w:szCs w:val="22"/>
        </w:rPr>
        <w:t>techniques are subjective, based on the opinion and judgment of consumers, experts; they are appropriate when past data are not available. They are usually applied to intermediate- or long-range decisions. Examples of qualitative forecasting methods are</w:t>
      </w:r>
      <w:r w:rsidRPr="00DD1539">
        <w:rPr>
          <w:b w:val="0"/>
          <w:sz w:val="22"/>
          <w:szCs w:val="22"/>
          <w:vertAlign w:val="superscript"/>
        </w:rPr>
        <w:t xml:space="preserve"> </w:t>
      </w:r>
      <w:r w:rsidRPr="00DD1539">
        <w:rPr>
          <w:b w:val="0"/>
          <w:sz w:val="22"/>
          <w:szCs w:val="22"/>
        </w:rPr>
        <w:t xml:space="preserve">informed opinion and judgment, the </w:t>
      </w:r>
      <w:hyperlink r:id="rId19" w:tooltip="Delphi method" w:history="1">
        <w:r w:rsidRPr="00DD1539">
          <w:rPr>
            <w:rStyle w:val="Hyperlink"/>
            <w:b w:val="0"/>
            <w:color w:val="auto"/>
            <w:sz w:val="22"/>
            <w:szCs w:val="22"/>
            <w:u w:val="none"/>
          </w:rPr>
          <w:t>Delphi method</w:t>
        </w:r>
      </w:hyperlink>
      <w:r w:rsidRPr="00DD1539">
        <w:rPr>
          <w:b w:val="0"/>
          <w:sz w:val="22"/>
          <w:szCs w:val="22"/>
        </w:rPr>
        <w:t xml:space="preserve">, </w:t>
      </w:r>
      <w:hyperlink r:id="rId20" w:tooltip="Market research" w:history="1">
        <w:r w:rsidRPr="00DD1539">
          <w:rPr>
            <w:rStyle w:val="Hyperlink"/>
            <w:b w:val="0"/>
            <w:color w:val="auto"/>
            <w:sz w:val="22"/>
            <w:szCs w:val="22"/>
            <w:u w:val="none"/>
          </w:rPr>
          <w:t>market research</w:t>
        </w:r>
      </w:hyperlink>
      <w:r w:rsidRPr="00DD1539">
        <w:rPr>
          <w:b w:val="0"/>
          <w:sz w:val="22"/>
          <w:szCs w:val="22"/>
        </w:rPr>
        <w:t>, and historical life-cycle analogy.</w:t>
      </w:r>
    </w:p>
    <w:p w:rsidR="0097372C" w:rsidRPr="00DD1539" w:rsidRDefault="0097372C" w:rsidP="00D56E78">
      <w:pPr>
        <w:pStyle w:val="NormalWeb"/>
        <w:spacing w:before="0" w:beforeAutospacing="0" w:after="0" w:afterAutospacing="0" w:line="360" w:lineRule="auto"/>
        <w:jc w:val="both"/>
        <w:rPr>
          <w:sz w:val="22"/>
          <w:szCs w:val="22"/>
        </w:rPr>
      </w:pPr>
      <w:r w:rsidRPr="00DD1539">
        <w:rPr>
          <w:b/>
          <w:sz w:val="22"/>
          <w:szCs w:val="22"/>
        </w:rPr>
        <w:t>Quantitative forecasting</w:t>
      </w:r>
      <w:r w:rsidRPr="00DD1539">
        <w:rPr>
          <w:sz w:val="22"/>
          <w:szCs w:val="22"/>
        </w:rPr>
        <w:t xml:space="preserve"> models are used to forecast future data as a function of past data; they are appropriate when past data are available. These methods are usually applied to short- or intermediate-range decisions. Examples of quantitative forecasting methods are</w:t>
      </w:r>
      <w:r w:rsidRPr="00DD1539">
        <w:rPr>
          <w:sz w:val="22"/>
          <w:szCs w:val="22"/>
          <w:vertAlign w:val="superscript"/>
        </w:rPr>
        <w:t xml:space="preserve"> </w:t>
      </w:r>
      <w:r w:rsidRPr="00DD1539">
        <w:rPr>
          <w:sz w:val="22"/>
          <w:szCs w:val="22"/>
        </w:rPr>
        <w:t xml:space="preserve">last period demand, simple and weighted N-Period </w:t>
      </w:r>
      <w:hyperlink r:id="rId21" w:tooltip="Moving average" w:history="1">
        <w:r w:rsidRPr="00DD1539">
          <w:rPr>
            <w:rStyle w:val="Hyperlink"/>
            <w:color w:val="auto"/>
            <w:sz w:val="22"/>
            <w:szCs w:val="22"/>
            <w:u w:val="none"/>
          </w:rPr>
          <w:t>moving averages</w:t>
        </w:r>
      </w:hyperlink>
      <w:r w:rsidRPr="00DD1539">
        <w:rPr>
          <w:sz w:val="22"/>
          <w:szCs w:val="22"/>
        </w:rPr>
        <w:t xml:space="preserve">, simple </w:t>
      </w:r>
      <w:hyperlink r:id="rId22" w:tooltip="Exponential smoothing" w:history="1">
        <w:r w:rsidRPr="00DD1539">
          <w:rPr>
            <w:rStyle w:val="Hyperlink"/>
            <w:color w:val="auto"/>
            <w:sz w:val="22"/>
            <w:szCs w:val="22"/>
            <w:u w:val="none"/>
          </w:rPr>
          <w:t>exponential smoothing</w:t>
        </w:r>
      </w:hyperlink>
      <w:r w:rsidRPr="00DD1539">
        <w:rPr>
          <w:sz w:val="22"/>
          <w:szCs w:val="22"/>
        </w:rPr>
        <w:t>, and multiplicative seasonal indexes.</w:t>
      </w:r>
    </w:p>
    <w:p w:rsidR="0097372C" w:rsidRPr="00DD1539" w:rsidRDefault="0097372C" w:rsidP="00D56E78">
      <w:pPr>
        <w:pStyle w:val="NormalWeb"/>
        <w:spacing w:before="0" w:beforeAutospacing="0" w:after="0" w:afterAutospacing="0" w:line="360" w:lineRule="auto"/>
        <w:jc w:val="both"/>
        <w:rPr>
          <w:sz w:val="22"/>
          <w:szCs w:val="22"/>
        </w:rPr>
      </w:pPr>
      <w:r w:rsidRPr="00DD1539">
        <w:rPr>
          <w:rStyle w:val="mw-headline"/>
          <w:b/>
          <w:sz w:val="22"/>
          <w:szCs w:val="22"/>
        </w:rPr>
        <w:t>Naïve approach:</w:t>
      </w:r>
      <w:r w:rsidRPr="00DD1539">
        <w:rPr>
          <w:rStyle w:val="mw-headline"/>
          <w:sz w:val="22"/>
          <w:szCs w:val="22"/>
        </w:rPr>
        <w:t xml:space="preserve"> </w:t>
      </w:r>
      <w:r w:rsidRPr="00DD1539">
        <w:rPr>
          <w:sz w:val="22"/>
          <w:szCs w:val="22"/>
        </w:rPr>
        <w:t xml:space="preserve">Naïve forecasts are the most cost-effective objective forecasting model, and provide a benchmark against which more sophisticated models can be compared. For stationary time series data, this approach says that the forecast for any period equals the historical average. For time series data that are stationary in terms of </w:t>
      </w:r>
      <w:hyperlink r:id="rId23" w:tooltip="Unit root" w:history="1">
        <w:r w:rsidRPr="00DD1539">
          <w:rPr>
            <w:rStyle w:val="Hyperlink"/>
            <w:color w:val="auto"/>
            <w:sz w:val="22"/>
            <w:szCs w:val="22"/>
            <w:u w:val="none"/>
          </w:rPr>
          <w:t>first differences</w:t>
        </w:r>
      </w:hyperlink>
      <w:r w:rsidRPr="00DD1539">
        <w:rPr>
          <w:sz w:val="22"/>
          <w:szCs w:val="22"/>
        </w:rPr>
        <w:t>, the naïve forecast equals the previous period's actual value.</w:t>
      </w:r>
    </w:p>
    <w:p w:rsidR="0097372C" w:rsidRPr="00DD1539" w:rsidRDefault="0097372C" w:rsidP="00D56E78">
      <w:pPr>
        <w:pStyle w:val="NormalWeb"/>
        <w:spacing w:before="0" w:beforeAutospacing="0" w:after="0" w:afterAutospacing="0" w:line="360" w:lineRule="auto"/>
        <w:jc w:val="both"/>
        <w:rPr>
          <w:sz w:val="22"/>
          <w:szCs w:val="22"/>
        </w:rPr>
      </w:pPr>
      <w:r w:rsidRPr="00DD1539">
        <w:rPr>
          <w:rStyle w:val="mw-headline"/>
          <w:b/>
          <w:sz w:val="22"/>
          <w:szCs w:val="22"/>
        </w:rPr>
        <w:t>Time series methods:</w:t>
      </w:r>
      <w:r w:rsidRPr="00DD1539">
        <w:rPr>
          <w:rStyle w:val="mw-headline"/>
          <w:sz w:val="22"/>
          <w:szCs w:val="22"/>
        </w:rPr>
        <w:t xml:space="preserve"> </w:t>
      </w:r>
      <w:hyperlink r:id="rId24" w:tooltip="Time series" w:history="1">
        <w:r w:rsidRPr="00DD1539">
          <w:rPr>
            <w:rStyle w:val="Hyperlink"/>
            <w:color w:val="auto"/>
            <w:sz w:val="22"/>
            <w:szCs w:val="22"/>
            <w:u w:val="none"/>
          </w:rPr>
          <w:t>Time series</w:t>
        </w:r>
      </w:hyperlink>
      <w:r w:rsidRPr="00DD1539">
        <w:rPr>
          <w:sz w:val="22"/>
          <w:szCs w:val="22"/>
        </w:rPr>
        <w:t xml:space="preserve"> methods use historical data as the basis of estimating future outcomes. </w:t>
      </w:r>
    </w:p>
    <w:p w:rsidR="0097372C" w:rsidRPr="00DD1539" w:rsidRDefault="0097372C" w:rsidP="00D56E78">
      <w:pPr>
        <w:pStyle w:val="Heading3"/>
        <w:spacing w:after="0" w:line="360" w:lineRule="auto"/>
        <w:jc w:val="both"/>
        <w:rPr>
          <w:b w:val="0"/>
          <w:sz w:val="22"/>
          <w:szCs w:val="22"/>
        </w:rPr>
      </w:pPr>
      <w:r w:rsidRPr="00DD1539">
        <w:rPr>
          <w:rStyle w:val="mw-headline"/>
          <w:sz w:val="22"/>
          <w:szCs w:val="22"/>
        </w:rPr>
        <w:t xml:space="preserve">Causal / Econometric Forecasting Methods: </w:t>
      </w:r>
      <w:r w:rsidRPr="00DD1539">
        <w:rPr>
          <w:b w:val="0"/>
          <w:sz w:val="22"/>
          <w:szCs w:val="22"/>
        </w:rPr>
        <w:t>Some forecasting methods use the assumption that it is possible to identify the underlying factors that might influence the variable that is being forecast. For example, including information about climate patterns might improve the ability of a model to predict umbrella sales. This is a model of seasonality which shows a regular pattern of up and down fluctuations. In addition to climate, seasonality can also be due to holidays and customs; for example, one might predict that sales of college football apparel will be higher during the football season than during the off season.</w:t>
      </w:r>
      <w:hyperlink r:id="rId25" w:anchor="cite_note-2" w:history="1">
        <w:r w:rsidRPr="00DD1539">
          <w:rPr>
            <w:rStyle w:val="Hyperlink"/>
            <w:b w:val="0"/>
            <w:color w:val="auto"/>
            <w:sz w:val="22"/>
            <w:szCs w:val="22"/>
            <w:u w:val="none"/>
          </w:rPr>
          <w:t>[2]</w:t>
        </w:r>
      </w:hyperlink>
    </w:p>
    <w:p w:rsidR="0097372C" w:rsidRPr="00DD1539" w:rsidRDefault="0097372C" w:rsidP="00D56E78">
      <w:pPr>
        <w:pStyle w:val="NormalWeb"/>
        <w:spacing w:before="0" w:beforeAutospacing="0" w:after="0" w:afterAutospacing="0" w:line="360" w:lineRule="auto"/>
        <w:jc w:val="both"/>
        <w:rPr>
          <w:sz w:val="22"/>
          <w:szCs w:val="22"/>
        </w:rPr>
      </w:pPr>
      <w:r w:rsidRPr="00DD1539">
        <w:rPr>
          <w:sz w:val="22"/>
          <w:szCs w:val="22"/>
        </w:rPr>
        <w:t>Causal forecasting methods are also subject to the discretion of the forecaster. There are several informal methods which do not have strict algorithms, but rather modest and unstructured guidance. Alternatively, one can forecast based on, for example, linear relationships. If one variable is linearly related to the other for a long enough period of time, it may be beneficial to extrapolate such a relationship into the future.</w:t>
      </w:r>
    </w:p>
    <w:p w:rsidR="0097372C" w:rsidRPr="00DD1539" w:rsidRDefault="0097372C" w:rsidP="00D56E78">
      <w:pPr>
        <w:pStyle w:val="NormalWeb"/>
        <w:spacing w:before="0" w:beforeAutospacing="0" w:after="0" w:afterAutospacing="0" w:line="360" w:lineRule="auto"/>
        <w:jc w:val="both"/>
        <w:rPr>
          <w:sz w:val="22"/>
          <w:szCs w:val="22"/>
        </w:rPr>
      </w:pPr>
      <w:r w:rsidRPr="00DD1539">
        <w:rPr>
          <w:sz w:val="22"/>
          <w:szCs w:val="22"/>
        </w:rPr>
        <w:t>Causal methods include:</w:t>
      </w:r>
    </w:p>
    <w:p w:rsidR="0097372C" w:rsidRPr="00DD1539" w:rsidRDefault="008618C8" w:rsidP="00834A9D">
      <w:pPr>
        <w:numPr>
          <w:ilvl w:val="0"/>
          <w:numId w:val="3"/>
        </w:numPr>
        <w:tabs>
          <w:tab w:val="clear" w:pos="720"/>
          <w:tab w:val="num" w:pos="450"/>
        </w:tabs>
        <w:spacing w:after="0" w:line="360" w:lineRule="auto"/>
        <w:ind w:left="360"/>
        <w:jc w:val="both"/>
        <w:rPr>
          <w:rFonts w:ascii="Times New Roman" w:hAnsi="Times New Roman"/>
        </w:rPr>
      </w:pPr>
      <w:hyperlink r:id="rId26" w:tooltip="Regression analysis" w:history="1">
        <w:r w:rsidR="0097372C" w:rsidRPr="00DD1539">
          <w:rPr>
            <w:rStyle w:val="Hyperlink"/>
            <w:rFonts w:ascii="Times New Roman" w:hAnsi="Times New Roman"/>
            <w:color w:val="auto"/>
            <w:u w:val="none"/>
          </w:rPr>
          <w:t>Regression analysis</w:t>
        </w:r>
      </w:hyperlink>
      <w:r w:rsidR="0097372C" w:rsidRPr="00DD1539">
        <w:rPr>
          <w:rFonts w:ascii="Times New Roman" w:hAnsi="Times New Roman"/>
        </w:rPr>
        <w:t xml:space="preserve"> includes a large group of methods that can be used to predict future values of variable using information about other variables. These methods include both </w:t>
      </w:r>
      <w:hyperlink r:id="rId27" w:tooltip="Parametric statistics" w:history="1">
        <w:r w:rsidR="0097372C" w:rsidRPr="00DD1539">
          <w:rPr>
            <w:rStyle w:val="Hyperlink"/>
            <w:rFonts w:ascii="Times New Roman" w:hAnsi="Times New Roman"/>
            <w:color w:val="auto"/>
            <w:u w:val="none"/>
          </w:rPr>
          <w:t>parametric</w:t>
        </w:r>
      </w:hyperlink>
      <w:r w:rsidR="0097372C" w:rsidRPr="00DD1539">
        <w:rPr>
          <w:rFonts w:ascii="Times New Roman" w:hAnsi="Times New Roman"/>
        </w:rPr>
        <w:t xml:space="preserve"> (linear or non-linear) and </w:t>
      </w:r>
      <w:hyperlink r:id="rId28" w:tooltip="Nonparametric regression" w:history="1">
        <w:r w:rsidR="0097372C" w:rsidRPr="00DD1539">
          <w:rPr>
            <w:rStyle w:val="Hyperlink"/>
            <w:rFonts w:ascii="Times New Roman" w:hAnsi="Times New Roman"/>
            <w:color w:val="auto"/>
            <w:u w:val="none"/>
          </w:rPr>
          <w:t>non-parametric</w:t>
        </w:r>
      </w:hyperlink>
      <w:r w:rsidR="0097372C" w:rsidRPr="00DD1539">
        <w:rPr>
          <w:rFonts w:ascii="Times New Roman" w:hAnsi="Times New Roman"/>
        </w:rPr>
        <w:t xml:space="preserve"> techniques.</w:t>
      </w:r>
    </w:p>
    <w:p w:rsidR="0097372C" w:rsidRPr="00DD1539" w:rsidRDefault="008618C8" w:rsidP="00834A9D">
      <w:pPr>
        <w:numPr>
          <w:ilvl w:val="0"/>
          <w:numId w:val="4"/>
        </w:numPr>
        <w:tabs>
          <w:tab w:val="clear" w:pos="720"/>
          <w:tab w:val="num" w:pos="450"/>
        </w:tabs>
        <w:spacing w:after="0" w:line="360" w:lineRule="auto"/>
        <w:ind w:left="360"/>
        <w:jc w:val="both"/>
        <w:rPr>
          <w:rFonts w:ascii="Times New Roman" w:hAnsi="Times New Roman"/>
        </w:rPr>
      </w:pPr>
      <w:hyperlink r:id="rId29" w:tooltip="ARMAX" w:history="1">
        <w:r w:rsidR="0097372C" w:rsidRPr="00DD1539">
          <w:rPr>
            <w:rStyle w:val="Hyperlink"/>
            <w:rFonts w:ascii="Times New Roman" w:hAnsi="Times New Roman"/>
            <w:color w:val="auto"/>
            <w:u w:val="none"/>
          </w:rPr>
          <w:t>Autoregressive moving average with exogenous inputs (ARMAX)</w:t>
        </w:r>
      </w:hyperlink>
      <w:hyperlink r:id="rId30" w:anchor="cite_note-3" w:history="1">
        <w:r w:rsidR="0097372C" w:rsidRPr="00DD1539">
          <w:rPr>
            <w:rStyle w:val="Hyperlink"/>
            <w:rFonts w:ascii="Times New Roman" w:hAnsi="Times New Roman"/>
            <w:color w:val="auto"/>
            <w:u w:val="none"/>
          </w:rPr>
          <w:t>[3]</w:t>
        </w:r>
      </w:hyperlink>
    </w:p>
    <w:p w:rsidR="0097372C" w:rsidRPr="00DD1539" w:rsidRDefault="0097372C" w:rsidP="00D56E78">
      <w:pPr>
        <w:pStyle w:val="NormalWeb"/>
        <w:spacing w:before="0" w:beforeAutospacing="0" w:after="0" w:afterAutospacing="0" w:line="360" w:lineRule="auto"/>
        <w:jc w:val="both"/>
        <w:rPr>
          <w:sz w:val="22"/>
          <w:szCs w:val="22"/>
        </w:rPr>
      </w:pPr>
      <w:r w:rsidRPr="00DD1539">
        <w:rPr>
          <w:sz w:val="22"/>
          <w:szCs w:val="22"/>
        </w:rPr>
        <w:t xml:space="preserve">Quantitative forecasting models are often judged against each other by comparison of their in-sample or out-of-sample </w:t>
      </w:r>
      <w:hyperlink r:id="rId31" w:tooltip="Mean square error" w:history="1">
        <w:r w:rsidRPr="00DD1539">
          <w:rPr>
            <w:rStyle w:val="Hyperlink"/>
            <w:color w:val="auto"/>
            <w:sz w:val="22"/>
            <w:szCs w:val="22"/>
            <w:u w:val="none"/>
          </w:rPr>
          <w:t>mean square error</w:t>
        </w:r>
      </w:hyperlink>
      <w:r w:rsidRPr="00DD1539">
        <w:rPr>
          <w:sz w:val="22"/>
          <w:szCs w:val="22"/>
        </w:rPr>
        <w:t>, although some researchers have advised against its use.</w:t>
      </w:r>
      <w:hyperlink r:id="rId32" w:anchor="cite_note-4" w:history="1">
        <w:r w:rsidRPr="00DD1539">
          <w:rPr>
            <w:rStyle w:val="Hyperlink"/>
            <w:color w:val="auto"/>
            <w:sz w:val="22"/>
            <w:szCs w:val="22"/>
            <w:u w:val="none"/>
          </w:rPr>
          <w:t>[4]</w:t>
        </w:r>
      </w:hyperlink>
    </w:p>
    <w:p w:rsidR="0097372C" w:rsidRPr="00DD1539" w:rsidRDefault="0097372C" w:rsidP="00D56E78">
      <w:pPr>
        <w:pStyle w:val="Heading3"/>
        <w:spacing w:after="0" w:line="360" w:lineRule="auto"/>
        <w:jc w:val="both"/>
        <w:rPr>
          <w:sz w:val="22"/>
          <w:szCs w:val="22"/>
        </w:rPr>
      </w:pPr>
      <w:r w:rsidRPr="00DD1539">
        <w:rPr>
          <w:rStyle w:val="mw-headline"/>
          <w:sz w:val="22"/>
          <w:szCs w:val="22"/>
        </w:rPr>
        <w:t xml:space="preserve">Judgmental Methods: </w:t>
      </w:r>
      <w:r w:rsidRPr="00DD1539">
        <w:rPr>
          <w:b w:val="0"/>
          <w:sz w:val="22"/>
          <w:szCs w:val="22"/>
        </w:rPr>
        <w:t xml:space="preserve">Judgmental forecasting methods incorporate intuitive judgments, opinions and subjective </w:t>
      </w:r>
      <w:hyperlink r:id="rId33" w:tooltip="Probability" w:history="1">
        <w:r w:rsidRPr="00DD1539">
          <w:rPr>
            <w:rStyle w:val="Hyperlink"/>
            <w:b w:val="0"/>
            <w:color w:val="auto"/>
            <w:sz w:val="22"/>
            <w:szCs w:val="22"/>
            <w:u w:val="none"/>
          </w:rPr>
          <w:t>probability</w:t>
        </w:r>
      </w:hyperlink>
      <w:r w:rsidRPr="00DD1539">
        <w:rPr>
          <w:b w:val="0"/>
          <w:sz w:val="22"/>
          <w:szCs w:val="22"/>
        </w:rPr>
        <w:t xml:space="preserve"> estimates.</w:t>
      </w:r>
      <w:r w:rsidRPr="00DD1539">
        <w:rPr>
          <w:sz w:val="22"/>
          <w:szCs w:val="22"/>
        </w:rPr>
        <w:t xml:space="preserve"> </w:t>
      </w:r>
    </w:p>
    <w:p w:rsidR="0097372C" w:rsidRPr="00DD1539" w:rsidRDefault="0097372C" w:rsidP="00D56E78">
      <w:pPr>
        <w:pStyle w:val="NormalWeb"/>
        <w:spacing w:before="0" w:beforeAutospacing="0" w:after="0" w:afterAutospacing="0" w:line="360" w:lineRule="auto"/>
        <w:jc w:val="both"/>
        <w:rPr>
          <w:sz w:val="22"/>
          <w:szCs w:val="22"/>
        </w:rPr>
      </w:pPr>
      <w:r w:rsidRPr="00DD1539">
        <w:rPr>
          <w:b/>
          <w:sz w:val="22"/>
          <w:szCs w:val="22"/>
        </w:rPr>
        <w:t>Demand Forecasting</w:t>
      </w:r>
      <w:r w:rsidRPr="00DD1539">
        <w:rPr>
          <w:sz w:val="22"/>
          <w:szCs w:val="22"/>
        </w:rPr>
        <w:t xml:space="preserve">: </w:t>
      </w:r>
      <w:r w:rsidRPr="00DD1539">
        <w:rPr>
          <w:bCs/>
          <w:sz w:val="22"/>
          <w:szCs w:val="22"/>
        </w:rPr>
        <w:t>demand forecasting</w:t>
      </w:r>
      <w:r w:rsidRPr="00DD1539">
        <w:rPr>
          <w:sz w:val="22"/>
          <w:szCs w:val="22"/>
        </w:rPr>
        <w:t xml:space="preserve"> is the activity of estimating the quantity of a product or service that consumers will purchase. Demand forecasting involves techniques including both informal </w:t>
      </w:r>
      <w:r w:rsidRPr="00DD1539">
        <w:rPr>
          <w:sz w:val="22"/>
          <w:szCs w:val="22"/>
        </w:rPr>
        <w:lastRenderedPageBreak/>
        <w:t xml:space="preserve">methods, such as educated guesses, and quantitative methods, such as the use of historical sales data or current data from </w:t>
      </w:r>
      <w:hyperlink r:id="rId34" w:tooltip="Test market" w:history="1">
        <w:r w:rsidRPr="00DD1539">
          <w:rPr>
            <w:rStyle w:val="Hyperlink"/>
            <w:color w:val="auto"/>
            <w:sz w:val="22"/>
            <w:szCs w:val="22"/>
            <w:u w:val="none"/>
          </w:rPr>
          <w:t>test markets</w:t>
        </w:r>
      </w:hyperlink>
      <w:r w:rsidRPr="00DD1539">
        <w:rPr>
          <w:sz w:val="22"/>
          <w:szCs w:val="22"/>
        </w:rPr>
        <w:t xml:space="preserve">. Demand forecasting may be used in making </w:t>
      </w:r>
      <w:hyperlink r:id="rId35" w:tooltip="Pricing" w:history="1">
        <w:r w:rsidRPr="00DD1539">
          <w:rPr>
            <w:rStyle w:val="Hyperlink"/>
            <w:color w:val="auto"/>
            <w:sz w:val="22"/>
            <w:szCs w:val="22"/>
            <w:u w:val="none"/>
          </w:rPr>
          <w:t>pricing</w:t>
        </w:r>
      </w:hyperlink>
      <w:r w:rsidRPr="00DD1539">
        <w:rPr>
          <w:sz w:val="22"/>
          <w:szCs w:val="22"/>
        </w:rPr>
        <w:t xml:space="preserve"> decisions, in assessing future capacity requirements, or in making decisions on whether to enter a </w:t>
      </w:r>
      <w:hyperlink r:id="rId36" w:tooltip="Market entry" w:history="1">
        <w:r w:rsidRPr="00DD1539">
          <w:rPr>
            <w:rStyle w:val="Hyperlink"/>
            <w:color w:val="auto"/>
            <w:sz w:val="22"/>
            <w:szCs w:val="22"/>
            <w:u w:val="none"/>
          </w:rPr>
          <w:t>new market</w:t>
        </w:r>
      </w:hyperlink>
      <w:r w:rsidRPr="00DD1539">
        <w:rPr>
          <w:sz w:val="22"/>
          <w:szCs w:val="22"/>
        </w:rPr>
        <w:t>.</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rPr>
        <w:t xml:space="preserve">Importance of Demand Forecasting: </w:t>
      </w:r>
      <w:r w:rsidRPr="00DD1539">
        <w:rPr>
          <w:rFonts w:ascii="Times New Roman" w:hAnsi="Times New Roman"/>
        </w:rPr>
        <w:t xml:space="preserve">Production Planning and product scheduling a business firm cannot function in wilderness. It has to take crucial decisions about what to produce and how much to produce. This in return depends upon its estimate of future demand for the product. If the forecasted demand is likely to rise, the firm can plan expansion of its production capabilities to meet the growing demand at the right point of time. In the </w:t>
      </w:r>
      <w:r w:rsidR="00834A9D" w:rsidRPr="00DD1539">
        <w:rPr>
          <w:rFonts w:ascii="Times New Roman" w:hAnsi="Times New Roman"/>
        </w:rPr>
        <w:t>eventuality of declining demand.</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rPr>
        <w:t xml:space="preserve">Inventory planning Demand forecasting is useful for the firm to acquire the right quantum of inventory at the right point of time, to meet the needs of the production same time without unnecessarily locking up the finances of the firm in inventory accumulation. </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rPr>
        <w:t>Capital planning:</w:t>
      </w:r>
      <w:r w:rsidRPr="00DD1539">
        <w:rPr>
          <w:rFonts w:ascii="Times New Roman" w:hAnsi="Times New Roman"/>
        </w:rPr>
        <w:t xml:space="preserve"> Increased production requires increased capital resources fixed as well as working capital. Availability of demand forecasts helps the firm to mobilize the capital resources in time.</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rPr>
        <w:t xml:space="preserve">Marketing strategy: </w:t>
      </w:r>
      <w:r w:rsidRPr="00DD1539">
        <w:rPr>
          <w:rFonts w:ascii="Times New Roman" w:hAnsi="Times New Roman"/>
        </w:rPr>
        <w:t>Demand forecasting will be useful in devising appropriate sales promotion or marketing strategies. If the demand forecasts indicate a declining trend in sales, it should resort to intensive sales promotion campaign to sustain its sales.</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rPr>
        <w:t xml:space="preserve">Manpower planning: </w:t>
      </w:r>
      <w:r w:rsidRPr="00DD1539">
        <w:rPr>
          <w:rFonts w:ascii="Times New Roman" w:hAnsi="Times New Roman"/>
        </w:rPr>
        <w:t>A firm has to recruit and train the appropriate level of work force. This calls for forecasting the demand well in advance so that the required contingent of the labor resources could be obtained.</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rPr>
        <w:t xml:space="preserve">Pricing strategies: </w:t>
      </w:r>
      <w:r w:rsidRPr="00DD1539">
        <w:rPr>
          <w:rFonts w:ascii="Times New Roman" w:hAnsi="Times New Roman"/>
        </w:rPr>
        <w:t>Devising and setting the optimum pricing depends upon the forecasted demand. If the forecasts indicate a declining share in the market demand then it has to slash the prices to sustain demand. Conversely, if the forecasts indicate increased demand for the prod act over a longer period it can charge higher prices subject to the other considerations. [15]</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bCs/>
        </w:rPr>
        <w:t xml:space="preserve">Components of Demand Forecasting: </w:t>
      </w:r>
      <w:r w:rsidRPr="00DD1539">
        <w:rPr>
          <w:rFonts w:ascii="Times New Roman" w:hAnsi="Times New Roman"/>
        </w:rPr>
        <w:t xml:space="preserve">There are two main factors that help determine the type of forecasting method that will be used.  They are: </w:t>
      </w:r>
      <w:hyperlink r:id="rId37" w:anchor="Time" w:history="1">
        <w:r w:rsidRPr="00DD1539">
          <w:rPr>
            <w:rFonts w:ascii="Times New Roman" w:hAnsi="Times New Roman"/>
          </w:rPr>
          <w:t>Time Frame</w:t>
        </w:r>
      </w:hyperlink>
      <w:r w:rsidRPr="00DD1539">
        <w:rPr>
          <w:rFonts w:ascii="Times New Roman" w:hAnsi="Times New Roman"/>
        </w:rPr>
        <w:t xml:space="preserve"> and </w:t>
      </w:r>
      <w:hyperlink r:id="rId38" w:anchor="Behavior" w:history="1">
        <w:r w:rsidRPr="00DD1539">
          <w:rPr>
            <w:rFonts w:ascii="Times New Roman" w:hAnsi="Times New Roman"/>
          </w:rPr>
          <w:t>Behavior.</w:t>
        </w:r>
      </w:hyperlink>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bCs/>
        </w:rPr>
        <w:t xml:space="preserve">Time Frame: </w:t>
      </w:r>
      <w:r w:rsidRPr="00DD1539">
        <w:rPr>
          <w:rFonts w:ascii="Times New Roman" w:hAnsi="Times New Roman"/>
        </w:rPr>
        <w:t xml:space="preserve">The length of the forecast depends on product market changes and susceptibility to technological changes.  The classifications are generalizations.  Short to Mid and Long range is all relative to the business and what is being forecast. </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rPr>
        <w:t xml:space="preserve">Short to Mid-Range forecasts are usually anywhere from daily to up to two years in length.  They are commonly used to determine production and delivery schedules and to establish inventory levels. </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rPr>
        <w:t xml:space="preserve">Long-Range forecasts are generally over two years into the future.  They are usually used for strategic planning.  Strategic planning determines where the company is headed in the future.  It is used to establish long-term goals, plan new products, enter new markets and develop new facilities &amp; technology. </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b/>
          <w:bCs/>
        </w:rPr>
        <w:lastRenderedPageBreak/>
        <w:t xml:space="preserve">Behavior: </w:t>
      </w:r>
      <w:r w:rsidRPr="00DD1539">
        <w:rPr>
          <w:rFonts w:ascii="Times New Roman" w:hAnsi="Times New Roman"/>
        </w:rPr>
        <w:t xml:space="preserve">Demand sometimes behaves in random and irregular ways.  Other times it exhibits predictable behavior.  The 3 main types of predictable behavior are trends, cycles, and seasonal patterns. </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rPr>
        <w:t xml:space="preserve">A </w:t>
      </w:r>
      <w:r w:rsidRPr="00DD1539">
        <w:rPr>
          <w:rFonts w:ascii="Times New Roman" w:hAnsi="Times New Roman"/>
          <w:iCs/>
        </w:rPr>
        <w:t xml:space="preserve">trend </w:t>
      </w:r>
      <w:r w:rsidRPr="00DD1539">
        <w:rPr>
          <w:rFonts w:ascii="Times New Roman" w:hAnsi="Times New Roman"/>
        </w:rPr>
        <w:t xml:space="preserve">is a gradual, long-term, upward or downward movement in demand.  A current trend is the steady increase in sales of personal computers over the past few years. </w:t>
      </w:r>
    </w:p>
    <w:p w:rsidR="0097372C" w:rsidRPr="00DD1539" w:rsidRDefault="0097372C" w:rsidP="00D56E78">
      <w:pPr>
        <w:spacing w:after="0" w:line="360" w:lineRule="auto"/>
        <w:jc w:val="both"/>
        <w:rPr>
          <w:rFonts w:ascii="Times New Roman" w:hAnsi="Times New Roman"/>
        </w:rPr>
      </w:pPr>
      <w:r w:rsidRPr="00DD1539">
        <w:rPr>
          <w:rFonts w:ascii="Times New Roman" w:hAnsi="Times New Roman"/>
        </w:rPr>
        <w:t xml:space="preserve">A </w:t>
      </w:r>
      <w:r w:rsidRPr="00DD1539">
        <w:rPr>
          <w:rFonts w:ascii="Times New Roman" w:hAnsi="Times New Roman"/>
          <w:iCs/>
        </w:rPr>
        <w:t>cycle</w:t>
      </w:r>
      <w:r w:rsidRPr="00DD1539">
        <w:rPr>
          <w:rFonts w:ascii="Times New Roman" w:hAnsi="Times New Roman"/>
        </w:rPr>
        <w:t xml:space="preserve"> is an up-and-down movement in demand that repeats itself over a longer time span.  Automotive sales often behave in a cyclical pattern. </w:t>
      </w:r>
    </w:p>
    <w:p w:rsidR="0097372C" w:rsidRPr="00DD1539" w:rsidRDefault="0097372C" w:rsidP="00D56E78">
      <w:pPr>
        <w:pStyle w:val="NormalWeb"/>
        <w:spacing w:before="0" w:beforeAutospacing="0" w:after="0" w:afterAutospacing="0" w:line="360" w:lineRule="auto"/>
        <w:jc w:val="both"/>
        <w:rPr>
          <w:sz w:val="22"/>
          <w:szCs w:val="22"/>
        </w:rPr>
      </w:pPr>
      <w:r w:rsidRPr="00DD1539">
        <w:rPr>
          <w:b/>
          <w:sz w:val="22"/>
          <w:szCs w:val="22"/>
        </w:rPr>
        <w:t>Application of Forecasting</w:t>
      </w:r>
      <w:r w:rsidRPr="00DD1539">
        <w:rPr>
          <w:sz w:val="22"/>
          <w:szCs w:val="22"/>
        </w:rPr>
        <w:t xml:space="preserve">: The process of climate change and increasing energy prices has led to the usage of </w:t>
      </w:r>
      <w:hyperlink r:id="rId39" w:tooltip="Egain Forecasting" w:history="1">
        <w:r w:rsidRPr="00DD1539">
          <w:rPr>
            <w:rStyle w:val="Hyperlink"/>
            <w:color w:val="auto"/>
            <w:sz w:val="22"/>
            <w:szCs w:val="22"/>
            <w:u w:val="none"/>
          </w:rPr>
          <w:t>Egain Forecasting</w:t>
        </w:r>
      </w:hyperlink>
      <w:r w:rsidRPr="00DD1539">
        <w:rPr>
          <w:sz w:val="22"/>
          <w:szCs w:val="22"/>
        </w:rPr>
        <w:t xml:space="preserve"> of buildings. The method uses forecasting to reduce the energy needed to heat the building, thus reducing the emission of greenhouse gases. Forecasting is used in the practice of </w:t>
      </w:r>
      <w:hyperlink r:id="rId40" w:tooltip="Customer Demand Planning" w:history="1">
        <w:r w:rsidRPr="00DD1539">
          <w:rPr>
            <w:rStyle w:val="Hyperlink"/>
            <w:color w:val="auto"/>
            <w:sz w:val="22"/>
            <w:szCs w:val="22"/>
            <w:u w:val="none"/>
          </w:rPr>
          <w:t>Customer Demand Planning</w:t>
        </w:r>
      </w:hyperlink>
      <w:r w:rsidRPr="00DD1539">
        <w:rPr>
          <w:sz w:val="22"/>
          <w:szCs w:val="22"/>
        </w:rPr>
        <w:t xml:space="preserve"> in everyday business forecasting for manufacturing companies. Forecasting has also been used to predict the development of conflict situations. Experts in forecasting perform research that use empirical results to gauge the effectiveness of certain forecasting models.</w:t>
      </w:r>
      <w:hyperlink r:id="rId41" w:anchor="cite_note-5" w:history="1">
        <w:r w:rsidRPr="00DD1539">
          <w:rPr>
            <w:rStyle w:val="Hyperlink"/>
            <w:color w:val="auto"/>
            <w:sz w:val="22"/>
            <w:szCs w:val="22"/>
            <w:u w:val="none"/>
          </w:rPr>
          <w:t>[5]</w:t>
        </w:r>
      </w:hyperlink>
      <w:r w:rsidRPr="00DD1539">
        <w:rPr>
          <w:sz w:val="22"/>
          <w:szCs w:val="22"/>
        </w:rPr>
        <w:t xml:space="preserve"> Research has shown that there is little difference between the accuracy of forecasts performed by experts knowledgeable of the conflict situation of interest and that performed by individuals who knew much less.</w:t>
      </w:r>
      <w:hyperlink r:id="rId42" w:anchor="cite_note-6" w:history="1">
        <w:r w:rsidRPr="00DD1539">
          <w:rPr>
            <w:rStyle w:val="Hyperlink"/>
            <w:color w:val="auto"/>
            <w:sz w:val="22"/>
            <w:szCs w:val="22"/>
            <w:u w:val="none"/>
          </w:rPr>
          <w:t>[6]</w:t>
        </w:r>
      </w:hyperlink>
    </w:p>
    <w:p w:rsidR="0097372C" w:rsidRPr="00DD1539" w:rsidRDefault="0097372C" w:rsidP="00D56E78">
      <w:pPr>
        <w:pStyle w:val="NormalWeb"/>
        <w:spacing w:before="0" w:beforeAutospacing="0" w:after="0" w:afterAutospacing="0" w:line="360" w:lineRule="auto"/>
        <w:jc w:val="both"/>
        <w:rPr>
          <w:sz w:val="22"/>
          <w:szCs w:val="22"/>
        </w:rPr>
      </w:pPr>
      <w:r w:rsidRPr="00DD1539">
        <w:rPr>
          <w:sz w:val="22"/>
          <w:szCs w:val="22"/>
        </w:rPr>
        <w:t>Similarly, experts in some studies argue that role thinking does not contribute to the accuracy of the forecast.</w:t>
      </w:r>
      <w:hyperlink r:id="rId43" w:anchor="cite_note-7" w:history="1">
        <w:r w:rsidRPr="00DD1539">
          <w:rPr>
            <w:rStyle w:val="Hyperlink"/>
            <w:color w:val="auto"/>
            <w:sz w:val="22"/>
            <w:szCs w:val="22"/>
            <w:u w:val="none"/>
          </w:rPr>
          <w:t>[7]</w:t>
        </w:r>
      </w:hyperlink>
      <w:r w:rsidRPr="00DD1539">
        <w:rPr>
          <w:sz w:val="22"/>
          <w:szCs w:val="22"/>
        </w:rPr>
        <w:t xml:space="preserve"> The discipline of demand planning, also sometimes referred to as supply chain forecasting, embraces both statistical forecasting and a consensus process. An important, albeit often ignored aspect of forecasting, is the relationship it holds with </w:t>
      </w:r>
      <w:hyperlink r:id="rId44" w:tooltip="Planning" w:history="1">
        <w:r w:rsidRPr="00DD1539">
          <w:rPr>
            <w:rStyle w:val="Hyperlink"/>
            <w:color w:val="auto"/>
            <w:sz w:val="22"/>
            <w:szCs w:val="22"/>
            <w:u w:val="none"/>
          </w:rPr>
          <w:t>planning</w:t>
        </w:r>
      </w:hyperlink>
      <w:r w:rsidRPr="00DD1539">
        <w:rPr>
          <w:sz w:val="22"/>
          <w:szCs w:val="22"/>
        </w:rPr>
        <w:t xml:space="preserve">. Forecasting can be described as predicting what the future </w:t>
      </w:r>
      <w:r w:rsidRPr="00DD1539">
        <w:rPr>
          <w:iCs/>
          <w:sz w:val="22"/>
          <w:szCs w:val="22"/>
        </w:rPr>
        <w:t>will</w:t>
      </w:r>
      <w:r w:rsidRPr="00DD1539">
        <w:rPr>
          <w:sz w:val="22"/>
          <w:szCs w:val="22"/>
        </w:rPr>
        <w:t xml:space="preserve"> look like, whereas planning predicts what the future </w:t>
      </w:r>
      <w:r w:rsidRPr="00DD1539">
        <w:rPr>
          <w:iCs/>
          <w:sz w:val="22"/>
          <w:szCs w:val="22"/>
        </w:rPr>
        <w:t>should</w:t>
      </w:r>
      <w:r w:rsidRPr="00DD1539">
        <w:rPr>
          <w:sz w:val="22"/>
          <w:szCs w:val="22"/>
        </w:rPr>
        <w:t xml:space="preserve"> look like.</w:t>
      </w:r>
      <w:hyperlink r:id="rId45" w:anchor="cite_note-8" w:history="1">
        <w:r w:rsidRPr="00DD1539">
          <w:rPr>
            <w:rStyle w:val="Hyperlink"/>
            <w:color w:val="auto"/>
            <w:sz w:val="22"/>
            <w:szCs w:val="22"/>
            <w:u w:val="none"/>
          </w:rPr>
          <w:t>[8]</w:t>
        </w:r>
      </w:hyperlink>
      <w:hyperlink r:id="rId46" w:anchor="cite_note-9" w:history="1">
        <w:r w:rsidRPr="00DD1539">
          <w:rPr>
            <w:rStyle w:val="Hyperlink"/>
            <w:color w:val="auto"/>
            <w:sz w:val="22"/>
            <w:szCs w:val="22"/>
            <w:u w:val="none"/>
          </w:rPr>
          <w:t>[9]</w:t>
        </w:r>
      </w:hyperlink>
      <w:r w:rsidRPr="00DD1539">
        <w:rPr>
          <w:sz w:val="22"/>
          <w:szCs w:val="22"/>
        </w:rPr>
        <w:t xml:space="preserve"> There is no single right forecasting method to use. Selection of a method should be based on your objectives and your conditions (data etc.).</w:t>
      </w:r>
      <w:hyperlink r:id="rId47" w:anchor="cite_note-10" w:history="1">
        <w:r w:rsidRPr="00DD1539">
          <w:rPr>
            <w:rStyle w:val="Hyperlink"/>
            <w:color w:val="auto"/>
            <w:sz w:val="22"/>
            <w:szCs w:val="22"/>
            <w:u w:val="none"/>
          </w:rPr>
          <w:t>[10]</w:t>
        </w:r>
      </w:hyperlink>
      <w:r w:rsidRPr="00DD1539">
        <w:rPr>
          <w:sz w:val="22"/>
          <w:szCs w:val="22"/>
        </w:rPr>
        <w:t xml:space="preserve"> A good place to find a method, is by visiting a selection tree. An example of a selection tree can be found here.</w:t>
      </w:r>
      <w:hyperlink r:id="rId48" w:anchor="cite_note-11" w:history="1">
        <w:r w:rsidRPr="00DD1539">
          <w:rPr>
            <w:rStyle w:val="Hyperlink"/>
            <w:color w:val="auto"/>
            <w:sz w:val="22"/>
            <w:szCs w:val="22"/>
            <w:u w:val="none"/>
          </w:rPr>
          <w:t>[11]</w:t>
        </w:r>
      </w:hyperlink>
      <w:r w:rsidRPr="00DD1539">
        <w:rPr>
          <w:sz w:val="22"/>
          <w:szCs w:val="22"/>
        </w:rPr>
        <w:t xml:space="preserve"> Forecasting has application in many situations:</w:t>
      </w:r>
    </w:p>
    <w:p w:rsidR="0097372C" w:rsidRPr="00DD1539" w:rsidRDefault="008618C8" w:rsidP="00D56E78">
      <w:pPr>
        <w:numPr>
          <w:ilvl w:val="0"/>
          <w:numId w:val="5"/>
        </w:numPr>
        <w:tabs>
          <w:tab w:val="clear" w:pos="720"/>
          <w:tab w:val="num" w:pos="450"/>
        </w:tabs>
        <w:spacing w:after="0" w:line="360" w:lineRule="auto"/>
        <w:ind w:left="360"/>
        <w:jc w:val="both"/>
        <w:rPr>
          <w:rFonts w:ascii="Times New Roman" w:hAnsi="Times New Roman"/>
        </w:rPr>
      </w:pPr>
      <w:hyperlink r:id="rId49" w:tooltip="Supply chain management" w:history="1">
        <w:r w:rsidR="0097372C" w:rsidRPr="00DD1539">
          <w:rPr>
            <w:rStyle w:val="Hyperlink"/>
            <w:rFonts w:ascii="Times New Roman" w:hAnsi="Times New Roman"/>
            <w:color w:val="auto"/>
            <w:u w:val="none"/>
          </w:rPr>
          <w:t>Supply chain management</w:t>
        </w:r>
      </w:hyperlink>
      <w:r w:rsidR="0097372C" w:rsidRPr="00DD1539">
        <w:rPr>
          <w:rFonts w:ascii="Times New Roman" w:hAnsi="Times New Roman"/>
        </w:rPr>
        <w:t xml:space="preserve"> - Forecasting can be used in Supply Chain Management to make sure that the right product is at the right place at the right time. Accurate forecasting will help retailers reduce excess inventory and therefore increase profit margin. Studies have shown that extrapolations are the least accurate, while company earnings forecasts are the most reliable.</w:t>
      </w:r>
      <w:hyperlink r:id="rId50" w:anchor="cite_note-12" w:history="1">
        <w:r w:rsidR="0097372C" w:rsidRPr="00DD1539">
          <w:rPr>
            <w:rStyle w:val="Hyperlink"/>
            <w:rFonts w:ascii="Times New Roman" w:hAnsi="Times New Roman"/>
            <w:color w:val="auto"/>
            <w:u w:val="none"/>
          </w:rPr>
          <w:t>[12]</w:t>
        </w:r>
      </w:hyperlink>
      <w:r w:rsidR="0097372C" w:rsidRPr="00DD1539">
        <w:rPr>
          <w:rFonts w:ascii="Times New Roman" w:hAnsi="Times New Roman"/>
        </w:rPr>
        <w:t xml:space="preserve"> Accurate forecasting will also help them meet consumer demand. </w:t>
      </w:r>
    </w:p>
    <w:p w:rsidR="0097372C" w:rsidRPr="00DD1539" w:rsidRDefault="0097372C" w:rsidP="00D56E78">
      <w:pPr>
        <w:pStyle w:val="NormalWeb"/>
        <w:spacing w:before="0" w:beforeAutospacing="0" w:after="0" w:afterAutospacing="0" w:line="360" w:lineRule="auto"/>
        <w:jc w:val="both"/>
        <w:rPr>
          <w:sz w:val="22"/>
          <w:szCs w:val="22"/>
        </w:rPr>
      </w:pPr>
      <w:r w:rsidRPr="00DD1539">
        <w:rPr>
          <w:b/>
          <w:sz w:val="22"/>
          <w:szCs w:val="22"/>
        </w:rPr>
        <w:t>Limitations</w:t>
      </w:r>
      <w:r w:rsidRPr="00DD1539">
        <w:rPr>
          <w:sz w:val="22"/>
          <w:szCs w:val="22"/>
        </w:rPr>
        <w:t xml:space="preserve"> </w:t>
      </w:r>
      <w:r w:rsidRPr="00DD1539">
        <w:rPr>
          <w:b/>
          <w:sz w:val="22"/>
          <w:szCs w:val="22"/>
        </w:rPr>
        <w:t>Forecasting Methods:</w:t>
      </w:r>
      <w:r w:rsidRPr="00DD1539">
        <w:rPr>
          <w:sz w:val="22"/>
          <w:szCs w:val="22"/>
        </w:rPr>
        <w:t xml:space="preserve"> Limitations pose barriers beyond which forecasting methods cannot reliably predict.</w:t>
      </w:r>
    </w:p>
    <w:p w:rsidR="0097372C" w:rsidRPr="00DD1539" w:rsidRDefault="0097372C" w:rsidP="00D56E78">
      <w:pPr>
        <w:pStyle w:val="Heading3"/>
        <w:spacing w:after="0" w:line="360" w:lineRule="auto"/>
        <w:jc w:val="both"/>
        <w:rPr>
          <w:b w:val="0"/>
          <w:sz w:val="22"/>
          <w:szCs w:val="22"/>
        </w:rPr>
      </w:pPr>
      <w:r w:rsidRPr="00DD1539">
        <w:rPr>
          <w:rStyle w:val="mw-headline"/>
          <w:sz w:val="22"/>
          <w:szCs w:val="22"/>
        </w:rPr>
        <w:t xml:space="preserve">Performance limits of fluid dynamics equations: </w:t>
      </w:r>
      <w:r w:rsidRPr="00DD1539">
        <w:rPr>
          <w:b w:val="0"/>
          <w:sz w:val="22"/>
          <w:szCs w:val="22"/>
        </w:rPr>
        <w:t xml:space="preserve">As proposed by </w:t>
      </w:r>
      <w:hyperlink r:id="rId51" w:tooltip="Edward Lorenz" w:history="1">
        <w:r w:rsidRPr="00DD1539">
          <w:rPr>
            <w:rStyle w:val="Hyperlink"/>
            <w:b w:val="0"/>
            <w:color w:val="auto"/>
            <w:sz w:val="22"/>
            <w:szCs w:val="22"/>
            <w:u w:val="none"/>
          </w:rPr>
          <w:t>Edward Lorenz</w:t>
        </w:r>
      </w:hyperlink>
      <w:r w:rsidRPr="00DD1539">
        <w:rPr>
          <w:b w:val="0"/>
          <w:sz w:val="22"/>
          <w:szCs w:val="22"/>
        </w:rPr>
        <w:t xml:space="preserve"> in 1963, long range weather forecasts, those made at a range of two weeks or more, are impossible to definitively predict the state of the atmosphere, owing to the </w:t>
      </w:r>
      <w:hyperlink r:id="rId52" w:tooltip="Chaos theory" w:history="1">
        <w:r w:rsidRPr="00DD1539">
          <w:rPr>
            <w:rStyle w:val="Hyperlink"/>
            <w:b w:val="0"/>
            <w:color w:val="auto"/>
            <w:sz w:val="22"/>
            <w:szCs w:val="22"/>
            <w:u w:val="none"/>
          </w:rPr>
          <w:t>chaotic nature</w:t>
        </w:r>
      </w:hyperlink>
      <w:r w:rsidRPr="00DD1539">
        <w:rPr>
          <w:b w:val="0"/>
          <w:sz w:val="22"/>
          <w:szCs w:val="22"/>
        </w:rPr>
        <w:t xml:space="preserve"> of the </w:t>
      </w:r>
      <w:hyperlink r:id="rId53" w:tooltip="Fluid dynamics" w:history="1">
        <w:r w:rsidRPr="00DD1539">
          <w:rPr>
            <w:rStyle w:val="Hyperlink"/>
            <w:b w:val="0"/>
            <w:color w:val="auto"/>
            <w:sz w:val="22"/>
            <w:szCs w:val="22"/>
            <w:u w:val="none"/>
          </w:rPr>
          <w:t>fluid dynamics</w:t>
        </w:r>
      </w:hyperlink>
      <w:r w:rsidRPr="00DD1539">
        <w:rPr>
          <w:b w:val="0"/>
          <w:sz w:val="22"/>
          <w:szCs w:val="22"/>
        </w:rPr>
        <w:t xml:space="preserve"> equations involved. Extremely </w:t>
      </w:r>
      <w:r w:rsidRPr="00DD1539">
        <w:rPr>
          <w:b w:val="0"/>
          <w:sz w:val="22"/>
          <w:szCs w:val="22"/>
        </w:rPr>
        <w:lastRenderedPageBreak/>
        <w:t>small errors in the initial input, such as temperatures and winds, within numerical models double every five days.</w:t>
      </w:r>
      <w:hyperlink r:id="rId54" w:anchor="cite_note-13" w:history="1">
        <w:r w:rsidRPr="00DD1539">
          <w:rPr>
            <w:rStyle w:val="Hyperlink"/>
            <w:b w:val="0"/>
            <w:color w:val="auto"/>
            <w:sz w:val="22"/>
            <w:szCs w:val="22"/>
            <w:u w:val="none"/>
          </w:rPr>
          <w:t>[13]</w:t>
        </w:r>
      </w:hyperlink>
    </w:p>
    <w:p w:rsidR="0097372C" w:rsidRPr="00DD1539" w:rsidRDefault="0097372C" w:rsidP="00D56E78">
      <w:pPr>
        <w:pStyle w:val="Heading3"/>
        <w:spacing w:after="0" w:line="360" w:lineRule="auto"/>
        <w:jc w:val="both"/>
        <w:rPr>
          <w:sz w:val="22"/>
          <w:szCs w:val="22"/>
        </w:rPr>
      </w:pPr>
      <w:r w:rsidRPr="00DD1539">
        <w:rPr>
          <w:rStyle w:val="mw-headline"/>
          <w:sz w:val="22"/>
          <w:szCs w:val="22"/>
        </w:rPr>
        <w:t xml:space="preserve">Complexity introduced by the technological singularity: </w:t>
      </w:r>
      <w:r w:rsidRPr="00DD1539">
        <w:rPr>
          <w:b w:val="0"/>
          <w:sz w:val="22"/>
          <w:szCs w:val="22"/>
        </w:rPr>
        <w:t xml:space="preserve">The </w:t>
      </w:r>
      <w:hyperlink r:id="rId55" w:tooltip="Technological singularity" w:history="1">
        <w:r w:rsidRPr="00DD1539">
          <w:rPr>
            <w:rStyle w:val="Hyperlink"/>
            <w:b w:val="0"/>
            <w:color w:val="auto"/>
            <w:sz w:val="22"/>
            <w:szCs w:val="22"/>
            <w:u w:val="none"/>
          </w:rPr>
          <w:t>technological singularity</w:t>
        </w:r>
      </w:hyperlink>
      <w:r w:rsidRPr="00DD1539">
        <w:rPr>
          <w:b w:val="0"/>
          <w:sz w:val="22"/>
          <w:szCs w:val="22"/>
        </w:rPr>
        <w:t xml:space="preserve"> is the theoretical emergence of </w:t>
      </w:r>
      <w:hyperlink r:id="rId56" w:tooltip="Superintelligence" w:history="1">
        <w:r w:rsidRPr="00DD1539">
          <w:rPr>
            <w:rStyle w:val="Hyperlink"/>
            <w:b w:val="0"/>
            <w:color w:val="auto"/>
            <w:sz w:val="22"/>
            <w:szCs w:val="22"/>
            <w:u w:val="none"/>
          </w:rPr>
          <w:t>super intelligence</w:t>
        </w:r>
      </w:hyperlink>
      <w:r w:rsidRPr="00DD1539">
        <w:rPr>
          <w:b w:val="0"/>
          <w:sz w:val="22"/>
          <w:szCs w:val="22"/>
        </w:rPr>
        <w:t xml:space="preserve"> through technological means.</w:t>
      </w:r>
      <w:hyperlink r:id="rId57" w:anchor="cite_note-14" w:history="1">
        <w:r w:rsidRPr="00DD1539">
          <w:rPr>
            <w:rStyle w:val="Hyperlink"/>
            <w:b w:val="0"/>
            <w:color w:val="auto"/>
            <w:sz w:val="22"/>
            <w:szCs w:val="22"/>
            <w:u w:val="none"/>
          </w:rPr>
          <w:t>[14]</w:t>
        </w:r>
      </w:hyperlink>
      <w:r w:rsidRPr="00DD1539">
        <w:rPr>
          <w:b w:val="0"/>
          <w:sz w:val="22"/>
          <w:szCs w:val="22"/>
        </w:rPr>
        <w:t xml:space="preserve"> Since the capabilities of such intelligence would be difficult for an unaided human mind to comprehend, the technological singularity is seen as an occurrence beyond which events cannot be predicted.</w:t>
      </w:r>
      <w:r w:rsidR="00D56E78" w:rsidRPr="00DD1539">
        <w:rPr>
          <w:sz w:val="22"/>
          <w:szCs w:val="22"/>
        </w:rPr>
        <w:t xml:space="preserve"> </w:t>
      </w:r>
    </w:p>
    <w:p w:rsidR="005C38FE" w:rsidRPr="00DD1539" w:rsidRDefault="005C38FE" w:rsidP="00D56E78">
      <w:pPr>
        <w:autoSpaceDE w:val="0"/>
        <w:autoSpaceDN w:val="0"/>
        <w:adjustRightInd w:val="0"/>
        <w:spacing w:after="0" w:line="360" w:lineRule="auto"/>
        <w:jc w:val="both"/>
        <w:rPr>
          <w:rFonts w:ascii="Times New Roman" w:eastAsia="Times New Roman" w:hAnsi="Times New Roman"/>
        </w:rPr>
      </w:pPr>
      <w:r w:rsidRPr="00DD1539">
        <w:rPr>
          <w:rFonts w:ascii="Times New Roman" w:eastAsia="Times New Roman" w:hAnsi="Times New Roman"/>
        </w:rPr>
        <w:t xml:space="preserve">However, several researchers have undergone its research on forecasting but have not researched on the particular product selected on the case study company, to understand its future production variations in its output. This interests the research to venture into the forecasting of the product, in other to foreseen its future production output. </w:t>
      </w:r>
    </w:p>
    <w:p w:rsidR="003A08A1" w:rsidRPr="00DD1539" w:rsidRDefault="000A0E68" w:rsidP="0097372C">
      <w:pPr>
        <w:autoSpaceDE w:val="0"/>
        <w:autoSpaceDN w:val="0"/>
        <w:adjustRightInd w:val="0"/>
        <w:spacing w:after="0" w:line="360" w:lineRule="auto"/>
        <w:jc w:val="both"/>
        <w:rPr>
          <w:rFonts w:ascii="Times New Roman" w:eastAsia="Times New Roman" w:hAnsi="Times New Roman"/>
          <w:b/>
        </w:rPr>
      </w:pPr>
      <w:r w:rsidRPr="00DD1539">
        <w:rPr>
          <w:rFonts w:ascii="Times New Roman" w:eastAsia="Times New Roman" w:hAnsi="Times New Roman"/>
          <w:b/>
        </w:rPr>
        <w:t>2</w:t>
      </w:r>
      <w:r w:rsidR="00F379F7" w:rsidRPr="00DD1539">
        <w:rPr>
          <w:rFonts w:ascii="Times New Roman" w:eastAsia="Times New Roman" w:hAnsi="Times New Roman"/>
          <w:b/>
        </w:rPr>
        <w:tab/>
        <w:t>Research Method</w:t>
      </w:r>
    </w:p>
    <w:p w:rsidR="003A08A1" w:rsidRPr="00DD1539" w:rsidRDefault="00516CED" w:rsidP="0097372C">
      <w:pPr>
        <w:autoSpaceDE w:val="0"/>
        <w:autoSpaceDN w:val="0"/>
        <w:adjustRightInd w:val="0"/>
        <w:spacing w:after="0" w:line="360" w:lineRule="auto"/>
        <w:jc w:val="both"/>
        <w:rPr>
          <w:rFonts w:ascii="Times New Roman" w:hAnsi="Times New Roman"/>
        </w:rPr>
      </w:pPr>
      <w:r w:rsidRPr="00DD1539">
        <w:rPr>
          <w:rFonts w:ascii="Times New Roman" w:eastAsia="Times New Roman" w:hAnsi="Times New Roman"/>
        </w:rPr>
        <w:t xml:space="preserve">The research </w:t>
      </w:r>
      <w:r w:rsidR="003A08A1" w:rsidRPr="00DD1539">
        <w:rPr>
          <w:rFonts w:ascii="Times New Roman" w:eastAsia="Times New Roman" w:hAnsi="Times New Roman"/>
        </w:rPr>
        <w:t xml:space="preserve">method </w:t>
      </w:r>
      <w:r w:rsidRPr="00DD1539">
        <w:rPr>
          <w:rFonts w:ascii="Times New Roman" w:eastAsia="Times New Roman" w:hAnsi="Times New Roman"/>
        </w:rPr>
        <w:t>used for</w:t>
      </w:r>
      <w:r w:rsidR="003A08A1" w:rsidRPr="00DD1539">
        <w:rPr>
          <w:rFonts w:ascii="Times New Roman" w:eastAsia="Times New Roman" w:hAnsi="Times New Roman"/>
        </w:rPr>
        <w:t xml:space="preserve"> data analysis</w:t>
      </w:r>
      <w:r w:rsidRPr="00DD1539">
        <w:rPr>
          <w:rFonts w:ascii="Times New Roman" w:eastAsia="Times New Roman" w:hAnsi="Times New Roman"/>
        </w:rPr>
        <w:t xml:space="preserve"> is the application of some </w:t>
      </w:r>
      <w:r w:rsidR="005C38FE" w:rsidRPr="00DD1539">
        <w:rPr>
          <w:rFonts w:ascii="Times New Roman" w:eastAsia="Times New Roman" w:hAnsi="Times New Roman"/>
        </w:rPr>
        <w:t xml:space="preserve">forecasting models which are used </w:t>
      </w:r>
      <w:r w:rsidR="00613324" w:rsidRPr="00DD1539">
        <w:rPr>
          <w:rFonts w:ascii="Times New Roman" w:eastAsia="Times New Roman" w:hAnsi="Times New Roman"/>
        </w:rPr>
        <w:t>to study</w:t>
      </w:r>
      <w:r w:rsidRPr="00DD1539">
        <w:rPr>
          <w:rFonts w:ascii="Times New Roman" w:eastAsia="Times New Roman" w:hAnsi="Times New Roman"/>
        </w:rPr>
        <w:t xml:space="preserve"> </w:t>
      </w:r>
      <w:r w:rsidR="00613324" w:rsidRPr="00DD1539">
        <w:rPr>
          <w:rFonts w:ascii="Times New Roman" w:eastAsia="Times New Roman" w:hAnsi="Times New Roman"/>
        </w:rPr>
        <w:t>the production variables</w:t>
      </w:r>
      <w:r w:rsidR="00F379F7" w:rsidRPr="00DD1539">
        <w:rPr>
          <w:rFonts w:ascii="Times New Roman" w:eastAsia="Times New Roman" w:hAnsi="Times New Roman"/>
        </w:rPr>
        <w:t>.</w:t>
      </w:r>
      <w:r w:rsidR="003A08A1" w:rsidRPr="00DD1539">
        <w:rPr>
          <w:rFonts w:ascii="Times New Roman" w:eastAsia="Times New Roman" w:hAnsi="Times New Roman"/>
        </w:rPr>
        <w:t xml:space="preserve"> </w:t>
      </w:r>
      <w:r w:rsidR="00F379F7" w:rsidRPr="00DD1539">
        <w:rPr>
          <w:rFonts w:ascii="Times New Roman" w:eastAsia="Times New Roman" w:hAnsi="Times New Roman"/>
        </w:rPr>
        <w:t>Data was</w:t>
      </w:r>
      <w:r w:rsidR="003A08A1" w:rsidRPr="00DD1539">
        <w:rPr>
          <w:rFonts w:ascii="Times New Roman" w:eastAsia="Times New Roman" w:hAnsi="Times New Roman"/>
        </w:rPr>
        <w:t xml:space="preserve"> analyzed by using forecasting model to predict the actual quantity needed to be produce in the plastic </w:t>
      </w:r>
      <w:r w:rsidR="00F379F7" w:rsidRPr="00DD1539">
        <w:rPr>
          <w:rFonts w:ascii="Times New Roman" w:eastAsia="Times New Roman" w:hAnsi="Times New Roman"/>
        </w:rPr>
        <w:t>under production using the appropriate variables</w:t>
      </w:r>
      <w:r w:rsidR="003A08A1" w:rsidRPr="00DD1539">
        <w:rPr>
          <w:rFonts w:ascii="Times New Roman" w:eastAsia="Times New Roman" w:hAnsi="Times New Roman"/>
        </w:rPr>
        <w:t xml:space="preserve"> over the month in the manufacturing industry. The</w:t>
      </w:r>
      <w:r w:rsidR="00F379F7" w:rsidRPr="00DD1539">
        <w:rPr>
          <w:rFonts w:ascii="Times New Roman" w:eastAsia="Times New Roman" w:hAnsi="Times New Roman"/>
        </w:rPr>
        <w:t xml:space="preserve"> seasonal analysis tool will review the seasonal influence of the production variables</w:t>
      </w:r>
      <w:r w:rsidR="003A08A1" w:rsidRPr="00DD1539">
        <w:rPr>
          <w:rFonts w:ascii="Times New Roman" w:eastAsia="Times New Roman" w:hAnsi="Times New Roman"/>
        </w:rPr>
        <w:t xml:space="preserve"> </w:t>
      </w:r>
      <w:r w:rsidR="00F379F7" w:rsidRPr="00DD1539">
        <w:rPr>
          <w:rFonts w:ascii="Times New Roman" w:eastAsia="Times New Roman" w:hAnsi="Times New Roman"/>
        </w:rPr>
        <w:t xml:space="preserve">in the system. The </w:t>
      </w:r>
      <w:r w:rsidR="003A08A1" w:rsidRPr="00DD1539">
        <w:rPr>
          <w:rFonts w:ascii="Times New Roman" w:eastAsia="Times New Roman" w:hAnsi="Times New Roman"/>
        </w:rPr>
        <w:t xml:space="preserve">use of </w:t>
      </w:r>
      <w:r w:rsidR="00834A9D" w:rsidRPr="00DD1539">
        <w:rPr>
          <w:rFonts w:ascii="Times New Roman" w:eastAsia="Times New Roman" w:hAnsi="Times New Roman"/>
        </w:rPr>
        <w:t>Minitab</w:t>
      </w:r>
      <w:r w:rsidR="003A08A1" w:rsidRPr="00DD1539">
        <w:rPr>
          <w:rFonts w:ascii="Times New Roman" w:eastAsia="Times New Roman" w:hAnsi="Times New Roman"/>
        </w:rPr>
        <w:t xml:space="preserve"> tool was made to </w:t>
      </w:r>
      <w:r w:rsidR="00F379F7" w:rsidRPr="00DD1539">
        <w:rPr>
          <w:rFonts w:ascii="Times New Roman" w:eastAsia="Times New Roman" w:hAnsi="Times New Roman"/>
        </w:rPr>
        <w:t xml:space="preserve">evaluate and to </w:t>
      </w:r>
      <w:r w:rsidR="003A08A1" w:rsidRPr="00DD1539">
        <w:rPr>
          <w:rFonts w:ascii="Times New Roman" w:eastAsia="Times New Roman" w:hAnsi="Times New Roman"/>
        </w:rPr>
        <w:t>test for the fitness variables.</w:t>
      </w:r>
    </w:p>
    <w:p w:rsidR="003A08A1" w:rsidRDefault="007179A5" w:rsidP="003A08A1">
      <w:pPr>
        <w:autoSpaceDE w:val="0"/>
        <w:autoSpaceDN w:val="0"/>
        <w:adjustRightInd w:val="0"/>
        <w:spacing w:after="0" w:line="240" w:lineRule="auto"/>
        <w:rPr>
          <w:rFonts w:ascii="Courier New" w:hAnsi="Courier New" w:cs="Courier New"/>
          <w:sz w:val="18"/>
          <w:szCs w:val="18"/>
        </w:rPr>
      </w:pPr>
      <w:r>
        <w:rPr>
          <w:rFonts w:ascii="Times New Roman" w:hAnsi="Times New Roman"/>
          <w:b/>
          <w:bCs/>
          <w:sz w:val="28"/>
          <w:szCs w:val="28"/>
        </w:rPr>
        <w:t>Table 1</w:t>
      </w:r>
      <w:r w:rsidR="003A08A1">
        <w:rPr>
          <w:rFonts w:ascii="Times New Roman" w:hAnsi="Times New Roman"/>
          <w:b/>
          <w:bCs/>
          <w:sz w:val="28"/>
          <w:szCs w:val="28"/>
        </w:rPr>
        <w:t>:</w:t>
      </w:r>
      <w:r w:rsidR="003A08A1">
        <w:rPr>
          <w:rFonts w:ascii="Times New Roman" w:hAnsi="Times New Roman"/>
          <w:b/>
          <w:bCs/>
          <w:sz w:val="28"/>
          <w:szCs w:val="28"/>
        </w:rPr>
        <w:tab/>
      </w:r>
      <w:r w:rsidR="003A08A1" w:rsidRPr="000014E8">
        <w:rPr>
          <w:rFonts w:ascii="Times New Roman" w:hAnsi="Times New Roman"/>
          <w:b/>
          <w:bCs/>
          <w:sz w:val="28"/>
          <w:szCs w:val="28"/>
        </w:rPr>
        <w:t xml:space="preserve">Presentation of Monthly Data </w:t>
      </w:r>
      <w:r w:rsidR="003A08A1">
        <w:rPr>
          <w:rFonts w:ascii="Times New Roman" w:hAnsi="Times New Roman"/>
          <w:b/>
          <w:sz w:val="28"/>
          <w:szCs w:val="28"/>
        </w:rPr>
        <w:t xml:space="preserve">for </w:t>
      </w:r>
      <w:r>
        <w:rPr>
          <w:rFonts w:ascii="Times New Roman" w:hAnsi="Times New Roman"/>
          <w:b/>
          <w:sz w:val="28"/>
          <w:szCs w:val="28"/>
        </w:rPr>
        <w:t>Extrusion Plastic</w:t>
      </w:r>
      <w:r w:rsidR="003A08A1" w:rsidRPr="000014E8">
        <w:rPr>
          <w:rFonts w:ascii="Times New Roman" w:hAnsi="Times New Roman"/>
          <w:b/>
          <w:sz w:val="28"/>
          <w:szCs w:val="28"/>
        </w:rPr>
        <w:t xml:space="preserve"> Pr</w:t>
      </w:r>
      <w:r>
        <w:rPr>
          <w:rFonts w:ascii="Times New Roman" w:hAnsi="Times New Roman"/>
          <w:b/>
          <w:sz w:val="28"/>
          <w:szCs w:val="28"/>
        </w:rPr>
        <w:t>oducti</w:t>
      </w:r>
      <w:r w:rsidR="003A08A1" w:rsidRPr="000014E8">
        <w:rPr>
          <w:rFonts w:ascii="Times New Roman" w:hAnsi="Times New Roman"/>
          <w:b/>
          <w:bCs/>
          <w:sz w:val="28"/>
          <w:szCs w:val="28"/>
        </w:rPr>
        <w:t xml:space="preserve">on </w:t>
      </w:r>
    </w:p>
    <w:tbl>
      <w:tblPr>
        <w:tblStyle w:val="TableGrid"/>
        <w:tblW w:w="9900" w:type="dxa"/>
        <w:tblInd w:w="-162" w:type="dxa"/>
        <w:tblLook w:val="04A0"/>
      </w:tblPr>
      <w:tblGrid>
        <w:gridCol w:w="887"/>
        <w:gridCol w:w="887"/>
        <w:gridCol w:w="888"/>
        <w:gridCol w:w="888"/>
        <w:gridCol w:w="887"/>
        <w:gridCol w:w="890"/>
        <w:gridCol w:w="1015"/>
        <w:gridCol w:w="888"/>
        <w:gridCol w:w="890"/>
        <w:gridCol w:w="890"/>
        <w:gridCol w:w="890"/>
      </w:tblGrid>
      <w:tr w:rsidR="003A08A1" w:rsidRPr="00352B7C" w:rsidTr="003A08A1">
        <w:tc>
          <w:tcPr>
            <w:tcW w:w="887" w:type="dxa"/>
          </w:tcPr>
          <w:p w:rsidR="003A08A1" w:rsidRPr="00352B7C" w:rsidRDefault="003A08A1" w:rsidP="00834A9D">
            <w:pPr>
              <w:ind w:right="-1260"/>
              <w:rPr>
                <w:rFonts w:ascii="Times New Roman" w:hAnsi="Times New Roman"/>
                <w:bCs/>
              </w:rPr>
            </w:pPr>
            <w:r w:rsidRPr="00352B7C">
              <w:rPr>
                <w:rFonts w:ascii="Times New Roman" w:hAnsi="Times New Roman"/>
                <w:bCs/>
              </w:rPr>
              <w:t>year</w:t>
            </w:r>
          </w:p>
        </w:tc>
        <w:tc>
          <w:tcPr>
            <w:tcW w:w="887" w:type="dxa"/>
          </w:tcPr>
          <w:p w:rsidR="003A08A1" w:rsidRPr="00352B7C" w:rsidRDefault="003A08A1" w:rsidP="00834A9D">
            <w:pPr>
              <w:ind w:right="-1260"/>
              <w:rPr>
                <w:rFonts w:ascii="Times New Roman" w:hAnsi="Times New Roman"/>
                <w:bCs/>
              </w:rPr>
            </w:pPr>
            <w:r w:rsidRPr="00352B7C">
              <w:rPr>
                <w:rFonts w:ascii="Times New Roman" w:hAnsi="Times New Roman"/>
                <w:bCs/>
              </w:rPr>
              <w:t>month</w:t>
            </w:r>
          </w:p>
        </w:tc>
        <w:tc>
          <w:tcPr>
            <w:tcW w:w="888" w:type="dxa"/>
          </w:tcPr>
          <w:p w:rsidR="003A08A1" w:rsidRPr="00352B7C" w:rsidRDefault="003A08A1" w:rsidP="00834A9D">
            <w:pPr>
              <w:ind w:right="-1260"/>
              <w:rPr>
                <w:rFonts w:ascii="Times New Roman" w:hAnsi="Times New Roman"/>
                <w:bCs/>
              </w:rPr>
            </w:pPr>
            <w:r w:rsidRPr="00352B7C">
              <w:rPr>
                <w:rFonts w:ascii="Times New Roman" w:hAnsi="Times New Roman"/>
                <w:bCs/>
              </w:rPr>
              <w:t>time</w:t>
            </w:r>
          </w:p>
        </w:tc>
        <w:tc>
          <w:tcPr>
            <w:tcW w:w="888" w:type="dxa"/>
          </w:tcPr>
          <w:p w:rsidR="003A08A1" w:rsidRPr="00352B7C" w:rsidRDefault="003A08A1" w:rsidP="00834A9D">
            <w:pPr>
              <w:ind w:right="-1260"/>
              <w:rPr>
                <w:rFonts w:ascii="Times New Roman" w:hAnsi="Times New Roman"/>
                <w:bCs/>
              </w:rPr>
            </w:pPr>
            <w:r w:rsidRPr="00352B7C">
              <w:rPr>
                <w:rFonts w:ascii="Times New Roman" w:hAnsi="Times New Roman"/>
                <w:bCs/>
              </w:rPr>
              <w:t>PVC(kg)</w:t>
            </w:r>
          </w:p>
        </w:tc>
        <w:tc>
          <w:tcPr>
            <w:tcW w:w="887" w:type="dxa"/>
          </w:tcPr>
          <w:p w:rsidR="003A08A1" w:rsidRPr="00352B7C" w:rsidRDefault="003A08A1" w:rsidP="00834A9D">
            <w:pPr>
              <w:ind w:right="-1260"/>
              <w:rPr>
                <w:rFonts w:ascii="Times New Roman" w:hAnsi="Times New Roman"/>
                <w:bCs/>
              </w:rPr>
            </w:pPr>
            <w:r w:rsidRPr="00352B7C">
              <w:rPr>
                <w:rFonts w:ascii="Times New Roman" w:hAnsi="Times New Roman"/>
                <w:bCs/>
              </w:rPr>
              <w:t>Stabilizer(kg)</w:t>
            </w:r>
          </w:p>
        </w:tc>
        <w:tc>
          <w:tcPr>
            <w:tcW w:w="890" w:type="dxa"/>
          </w:tcPr>
          <w:p w:rsidR="003A08A1" w:rsidRPr="00352B7C" w:rsidRDefault="003A08A1" w:rsidP="00834A9D">
            <w:pPr>
              <w:ind w:right="-1260"/>
              <w:rPr>
                <w:rFonts w:ascii="Times New Roman" w:hAnsi="Times New Roman"/>
                <w:bCs/>
              </w:rPr>
            </w:pPr>
            <w:r w:rsidRPr="00352B7C">
              <w:rPr>
                <w:rFonts w:ascii="Times New Roman" w:hAnsi="Times New Roman"/>
                <w:bCs/>
              </w:rPr>
              <w:t>Calcium(kg)</w:t>
            </w:r>
          </w:p>
        </w:tc>
        <w:tc>
          <w:tcPr>
            <w:tcW w:w="1015" w:type="dxa"/>
          </w:tcPr>
          <w:p w:rsidR="003A08A1" w:rsidRPr="00352B7C" w:rsidRDefault="003A08A1" w:rsidP="00834A9D">
            <w:pPr>
              <w:ind w:right="-1260"/>
              <w:rPr>
                <w:rFonts w:ascii="Times New Roman" w:hAnsi="Times New Roman"/>
                <w:bCs/>
              </w:rPr>
            </w:pPr>
            <w:r w:rsidRPr="00352B7C">
              <w:rPr>
                <w:rFonts w:ascii="Times New Roman" w:hAnsi="Times New Roman"/>
                <w:bCs/>
              </w:rPr>
              <w:t>Steric(g)</w:t>
            </w:r>
          </w:p>
        </w:tc>
        <w:tc>
          <w:tcPr>
            <w:tcW w:w="888" w:type="dxa"/>
          </w:tcPr>
          <w:p w:rsidR="003A08A1" w:rsidRPr="00352B7C" w:rsidRDefault="003A08A1" w:rsidP="00834A9D">
            <w:pPr>
              <w:ind w:right="-1260"/>
              <w:rPr>
                <w:rFonts w:ascii="Times New Roman" w:hAnsi="Times New Roman"/>
                <w:bCs/>
              </w:rPr>
            </w:pPr>
            <w:r w:rsidRPr="00352B7C">
              <w:rPr>
                <w:rFonts w:ascii="Times New Roman" w:hAnsi="Times New Roman"/>
                <w:bCs/>
              </w:rPr>
              <w:t>Titanium(g)</w:t>
            </w:r>
          </w:p>
        </w:tc>
        <w:tc>
          <w:tcPr>
            <w:tcW w:w="890" w:type="dxa"/>
          </w:tcPr>
          <w:p w:rsidR="003A08A1" w:rsidRPr="00352B7C" w:rsidRDefault="003A08A1" w:rsidP="00834A9D">
            <w:pPr>
              <w:ind w:right="-1260"/>
              <w:rPr>
                <w:rFonts w:ascii="Times New Roman" w:hAnsi="Times New Roman"/>
                <w:bCs/>
              </w:rPr>
            </w:pPr>
            <w:r>
              <w:rPr>
                <w:rFonts w:ascii="Times New Roman" w:hAnsi="Times New Roman"/>
                <w:bCs/>
              </w:rPr>
              <w:t>Pigment</w:t>
            </w:r>
            <w:r w:rsidRPr="00352B7C">
              <w:rPr>
                <w:rFonts w:ascii="Times New Roman" w:hAnsi="Times New Roman"/>
                <w:bCs/>
              </w:rPr>
              <w:t>(g)</w:t>
            </w:r>
          </w:p>
        </w:tc>
        <w:tc>
          <w:tcPr>
            <w:tcW w:w="890" w:type="dxa"/>
          </w:tcPr>
          <w:p w:rsidR="003A08A1" w:rsidRPr="00352B7C" w:rsidRDefault="003A08A1" w:rsidP="00834A9D">
            <w:pPr>
              <w:ind w:right="-1260"/>
              <w:rPr>
                <w:rFonts w:ascii="Times New Roman" w:hAnsi="Times New Roman"/>
                <w:bCs/>
              </w:rPr>
            </w:pPr>
            <w:r>
              <w:rPr>
                <w:rFonts w:ascii="Times New Roman" w:hAnsi="Times New Roman"/>
                <w:bCs/>
              </w:rPr>
              <w:t>P6</w:t>
            </w:r>
            <w:r w:rsidRPr="00352B7C">
              <w:rPr>
                <w:rFonts w:ascii="Times New Roman" w:hAnsi="Times New Roman"/>
                <w:bCs/>
              </w:rPr>
              <w:t>(kg)</w:t>
            </w:r>
          </w:p>
        </w:tc>
        <w:tc>
          <w:tcPr>
            <w:tcW w:w="890" w:type="dxa"/>
          </w:tcPr>
          <w:p w:rsidR="003A08A1" w:rsidRPr="00352B7C" w:rsidRDefault="003A08A1" w:rsidP="00834A9D">
            <w:pPr>
              <w:ind w:right="-1260"/>
              <w:rPr>
                <w:rFonts w:ascii="Times New Roman" w:hAnsi="Times New Roman"/>
                <w:bCs/>
              </w:rPr>
            </w:pPr>
            <w:r>
              <w:rPr>
                <w:rFonts w:ascii="Times New Roman" w:hAnsi="Times New Roman"/>
                <w:bCs/>
              </w:rPr>
              <w:t>P6</w:t>
            </w:r>
            <w:r w:rsidRPr="00352B7C">
              <w:rPr>
                <w:rFonts w:ascii="Times New Roman" w:hAnsi="Times New Roman"/>
                <w:bCs/>
              </w:rPr>
              <w:t>(units)</w:t>
            </w:r>
          </w:p>
        </w:tc>
      </w:tr>
      <w:tr w:rsidR="003A08A1" w:rsidTr="003A08A1">
        <w:tc>
          <w:tcPr>
            <w:tcW w:w="887" w:type="dxa"/>
          </w:tcPr>
          <w:p w:rsidR="003A08A1" w:rsidRPr="00352B7C" w:rsidRDefault="007179A5" w:rsidP="00834A9D">
            <w:pPr>
              <w:ind w:left="-108"/>
              <w:rPr>
                <w:rFonts w:ascii="Times New Roman" w:hAnsi="Times New Roman"/>
              </w:rPr>
            </w:pPr>
            <w:r>
              <w:rPr>
                <w:rFonts w:ascii="Times New Roman" w:hAnsi="Times New Roman"/>
              </w:rPr>
              <w:t>2018</w:t>
            </w: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Jan</w:t>
            </w:r>
          </w:p>
        </w:tc>
        <w:tc>
          <w:tcPr>
            <w:tcW w:w="888" w:type="dxa"/>
          </w:tcPr>
          <w:p w:rsidR="003A08A1" w:rsidRPr="00352B7C" w:rsidRDefault="007C7EF3" w:rsidP="00834A9D">
            <w:pPr>
              <w:rPr>
                <w:rFonts w:ascii="Times New Roman" w:hAnsi="Times New Roman"/>
              </w:rPr>
            </w:pPr>
            <w:r>
              <w:rPr>
                <w:rFonts w:ascii="Times New Roman" w:hAnsi="Times New Roman"/>
              </w:rPr>
              <w:t>1</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3468</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116</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694</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12</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0.5</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4290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2860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Feb</w:t>
            </w:r>
          </w:p>
        </w:tc>
        <w:tc>
          <w:tcPr>
            <w:tcW w:w="888" w:type="dxa"/>
          </w:tcPr>
          <w:p w:rsidR="003A08A1" w:rsidRPr="00352B7C" w:rsidRDefault="003A08A1" w:rsidP="00834A9D">
            <w:pPr>
              <w:rPr>
                <w:rFonts w:ascii="Times New Roman" w:hAnsi="Times New Roman"/>
              </w:rPr>
            </w:pPr>
            <w:r w:rsidRPr="00352B7C">
              <w:rPr>
                <w:rFonts w:ascii="Times New Roman" w:hAnsi="Times New Roman"/>
              </w:rPr>
              <w:t>2</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2837</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95</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567</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9</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0.4</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3510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2340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Mar</w:t>
            </w:r>
          </w:p>
        </w:tc>
        <w:tc>
          <w:tcPr>
            <w:tcW w:w="888" w:type="dxa"/>
          </w:tcPr>
          <w:p w:rsidR="003A08A1" w:rsidRPr="00352B7C" w:rsidRDefault="007C7EF3" w:rsidP="00834A9D">
            <w:pPr>
              <w:rPr>
                <w:rFonts w:ascii="Times New Roman" w:hAnsi="Times New Roman"/>
              </w:rPr>
            </w:pPr>
            <w:r>
              <w:rPr>
                <w:rFonts w:ascii="Times New Roman" w:hAnsi="Times New Roman"/>
              </w:rPr>
              <w:t>3</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9215</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307</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1843</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31</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11400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7600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April</w:t>
            </w:r>
          </w:p>
        </w:tc>
        <w:tc>
          <w:tcPr>
            <w:tcW w:w="888" w:type="dxa"/>
          </w:tcPr>
          <w:p w:rsidR="003A08A1" w:rsidRPr="00352B7C" w:rsidRDefault="007C7EF3" w:rsidP="00834A9D">
            <w:pPr>
              <w:rPr>
                <w:rFonts w:ascii="Times New Roman" w:hAnsi="Times New Roman"/>
              </w:rPr>
            </w:pPr>
            <w:r>
              <w:rPr>
                <w:rFonts w:ascii="Times New Roman" w:hAnsi="Times New Roman"/>
              </w:rPr>
              <w:t>4</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5529</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184</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1106</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18</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6840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4560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May</w:t>
            </w:r>
          </w:p>
        </w:tc>
        <w:tc>
          <w:tcPr>
            <w:tcW w:w="888" w:type="dxa"/>
          </w:tcPr>
          <w:p w:rsidR="003A08A1" w:rsidRPr="00352B7C" w:rsidRDefault="007C7EF3" w:rsidP="00834A9D">
            <w:pPr>
              <w:rPr>
                <w:rFonts w:ascii="Times New Roman" w:hAnsi="Times New Roman"/>
              </w:rPr>
            </w:pPr>
            <w:r>
              <w:rPr>
                <w:rFonts w:ascii="Times New Roman" w:hAnsi="Times New Roman"/>
              </w:rPr>
              <w:t>5</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9773</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326</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1955</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33</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12090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8060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June</w:t>
            </w:r>
          </w:p>
        </w:tc>
        <w:tc>
          <w:tcPr>
            <w:tcW w:w="888" w:type="dxa"/>
          </w:tcPr>
          <w:p w:rsidR="003A08A1" w:rsidRPr="00352B7C" w:rsidRDefault="007C7EF3" w:rsidP="00834A9D">
            <w:pPr>
              <w:rPr>
                <w:rFonts w:ascii="Times New Roman" w:hAnsi="Times New Roman"/>
              </w:rPr>
            </w:pPr>
            <w:r>
              <w:rPr>
                <w:rFonts w:ascii="Times New Roman" w:hAnsi="Times New Roman"/>
              </w:rPr>
              <w:t>6</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9337</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313</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1879</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31</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11625</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7750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July</w:t>
            </w:r>
          </w:p>
        </w:tc>
        <w:tc>
          <w:tcPr>
            <w:tcW w:w="888" w:type="dxa"/>
          </w:tcPr>
          <w:p w:rsidR="003A08A1" w:rsidRPr="00352B7C" w:rsidRDefault="007C7EF3" w:rsidP="00834A9D">
            <w:pPr>
              <w:rPr>
                <w:rFonts w:ascii="Times New Roman" w:hAnsi="Times New Roman"/>
              </w:rPr>
            </w:pPr>
            <w:r>
              <w:rPr>
                <w:rFonts w:ascii="Times New Roman" w:hAnsi="Times New Roman"/>
              </w:rPr>
              <w:t>7</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13122</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437</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2624</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44</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16233</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10822</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Aug</w:t>
            </w:r>
          </w:p>
        </w:tc>
        <w:tc>
          <w:tcPr>
            <w:tcW w:w="888" w:type="dxa"/>
          </w:tcPr>
          <w:p w:rsidR="003A08A1" w:rsidRPr="00352B7C" w:rsidRDefault="007C7EF3" w:rsidP="00834A9D">
            <w:pPr>
              <w:rPr>
                <w:rFonts w:ascii="Times New Roman" w:hAnsi="Times New Roman"/>
              </w:rPr>
            </w:pPr>
            <w:r>
              <w:rPr>
                <w:rFonts w:ascii="Times New Roman" w:hAnsi="Times New Roman"/>
              </w:rPr>
              <w:t>8</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7300</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243</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1460</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24</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9030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6020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Sept</w:t>
            </w:r>
          </w:p>
        </w:tc>
        <w:tc>
          <w:tcPr>
            <w:tcW w:w="888" w:type="dxa"/>
          </w:tcPr>
          <w:p w:rsidR="003A08A1" w:rsidRPr="00352B7C" w:rsidRDefault="007C7EF3" w:rsidP="00834A9D">
            <w:pPr>
              <w:rPr>
                <w:rFonts w:ascii="Times New Roman" w:hAnsi="Times New Roman"/>
              </w:rPr>
            </w:pPr>
            <w:r>
              <w:rPr>
                <w:rFonts w:ascii="Times New Roman" w:hAnsi="Times New Roman"/>
              </w:rPr>
              <w:t>9</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8270</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276</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1654</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28</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10230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6820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Oct</w:t>
            </w:r>
          </w:p>
        </w:tc>
        <w:tc>
          <w:tcPr>
            <w:tcW w:w="888" w:type="dxa"/>
          </w:tcPr>
          <w:p w:rsidR="003A08A1" w:rsidRPr="00352B7C" w:rsidRDefault="007C7EF3" w:rsidP="00834A9D">
            <w:pPr>
              <w:rPr>
                <w:rFonts w:ascii="Times New Roman" w:hAnsi="Times New Roman"/>
              </w:rPr>
            </w:pPr>
            <w:r>
              <w:rPr>
                <w:rFonts w:ascii="Times New Roman" w:hAnsi="Times New Roman"/>
              </w:rPr>
              <w:t>10</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17352</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578</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3470</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58</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21465</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14310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Nov</w:t>
            </w:r>
          </w:p>
        </w:tc>
        <w:tc>
          <w:tcPr>
            <w:tcW w:w="888" w:type="dxa"/>
          </w:tcPr>
          <w:p w:rsidR="003A08A1" w:rsidRPr="00352B7C" w:rsidRDefault="007C7EF3" w:rsidP="00834A9D">
            <w:pPr>
              <w:rPr>
                <w:rFonts w:ascii="Times New Roman" w:hAnsi="Times New Roman"/>
              </w:rPr>
            </w:pPr>
            <w:r>
              <w:rPr>
                <w:rFonts w:ascii="Times New Roman" w:hAnsi="Times New Roman"/>
              </w:rPr>
              <w:t>11</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1552</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52</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310</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5</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0.4</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0.2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1920</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1280</w:t>
            </w:r>
          </w:p>
        </w:tc>
      </w:tr>
      <w:tr w:rsidR="003A08A1" w:rsidTr="003A08A1">
        <w:tc>
          <w:tcPr>
            <w:tcW w:w="887" w:type="dxa"/>
          </w:tcPr>
          <w:p w:rsidR="003A08A1" w:rsidRPr="00352B7C" w:rsidRDefault="003A08A1" w:rsidP="00834A9D">
            <w:pPr>
              <w:ind w:left="-108"/>
              <w:rPr>
                <w:rFonts w:ascii="Times New Roman" w:hAnsi="Times New Roman"/>
              </w:rPr>
            </w:pPr>
          </w:p>
        </w:tc>
        <w:tc>
          <w:tcPr>
            <w:tcW w:w="887" w:type="dxa"/>
          </w:tcPr>
          <w:p w:rsidR="003A08A1" w:rsidRPr="00352B7C" w:rsidRDefault="003A08A1" w:rsidP="00834A9D">
            <w:pPr>
              <w:ind w:left="-108"/>
              <w:rPr>
                <w:rFonts w:ascii="Times New Roman" w:hAnsi="Times New Roman"/>
              </w:rPr>
            </w:pPr>
            <w:r w:rsidRPr="00352B7C">
              <w:rPr>
                <w:rFonts w:ascii="Times New Roman" w:hAnsi="Times New Roman"/>
              </w:rPr>
              <w:t>Dec</w:t>
            </w:r>
          </w:p>
        </w:tc>
        <w:tc>
          <w:tcPr>
            <w:tcW w:w="888" w:type="dxa"/>
          </w:tcPr>
          <w:p w:rsidR="003A08A1" w:rsidRPr="00352B7C" w:rsidRDefault="007C7EF3" w:rsidP="00834A9D">
            <w:pPr>
              <w:rPr>
                <w:rFonts w:ascii="Times New Roman" w:hAnsi="Times New Roman"/>
              </w:rPr>
            </w:pPr>
            <w:r>
              <w:rPr>
                <w:rFonts w:ascii="Times New Roman" w:hAnsi="Times New Roman"/>
              </w:rPr>
              <w:t>12</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7894</w:t>
            </w:r>
          </w:p>
        </w:tc>
        <w:tc>
          <w:tcPr>
            <w:tcW w:w="887"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263</w:t>
            </w:r>
          </w:p>
        </w:tc>
        <w:tc>
          <w:tcPr>
            <w:tcW w:w="890"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1579</w:t>
            </w:r>
          </w:p>
        </w:tc>
        <w:tc>
          <w:tcPr>
            <w:tcW w:w="1015"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26</w:t>
            </w:r>
          </w:p>
        </w:tc>
        <w:tc>
          <w:tcPr>
            <w:tcW w:w="888" w:type="dxa"/>
          </w:tcPr>
          <w:p w:rsidR="003A08A1" w:rsidRDefault="003A08A1" w:rsidP="00834A9D">
            <w:pPr>
              <w:autoSpaceDE w:val="0"/>
              <w:autoSpaceDN w:val="0"/>
              <w:adjustRightInd w:val="0"/>
              <w:rPr>
                <w:rFonts w:ascii="Courier New" w:hAnsi="Courier New" w:cs="Courier New"/>
                <w:sz w:val="18"/>
                <w:szCs w:val="18"/>
              </w:rPr>
            </w:pPr>
            <w:r>
              <w:rPr>
                <w:rFonts w:ascii="Courier New" w:hAnsi="Courier New" w:cs="Courier New"/>
                <w:sz w:val="18"/>
                <w:szCs w:val="18"/>
              </w:rPr>
              <w:t>2</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1</w:t>
            </w:r>
          </w:p>
        </w:tc>
        <w:tc>
          <w:tcPr>
            <w:tcW w:w="890" w:type="dxa"/>
          </w:tcPr>
          <w:p w:rsidR="003A08A1" w:rsidRPr="000A1734" w:rsidRDefault="003A08A1" w:rsidP="00834A9D">
            <w:pPr>
              <w:pStyle w:val="NoSpacing"/>
              <w:rPr>
                <w:rStyle w:val="Emphasis"/>
                <w:rFonts w:ascii="Times New Roman" w:hAnsi="Times New Roman"/>
              </w:rPr>
            </w:pPr>
            <w:r>
              <w:rPr>
                <w:rStyle w:val="Emphasis"/>
                <w:rFonts w:ascii="Times New Roman" w:hAnsi="Times New Roman"/>
              </w:rPr>
              <w:t>9765</w:t>
            </w:r>
          </w:p>
        </w:tc>
        <w:tc>
          <w:tcPr>
            <w:tcW w:w="890" w:type="dxa"/>
          </w:tcPr>
          <w:p w:rsidR="003A08A1" w:rsidRPr="000A1734" w:rsidRDefault="003A08A1" w:rsidP="00834A9D">
            <w:pPr>
              <w:pStyle w:val="NoSpacing"/>
              <w:rPr>
                <w:rStyle w:val="Emphasis"/>
                <w:rFonts w:ascii="Times New Roman" w:hAnsi="Times New Roman"/>
              </w:rPr>
            </w:pPr>
            <w:r w:rsidRPr="000A1734">
              <w:rPr>
                <w:rStyle w:val="Emphasis"/>
                <w:rFonts w:ascii="Times New Roman" w:hAnsi="Times New Roman"/>
              </w:rPr>
              <w:t>6510</w:t>
            </w:r>
          </w:p>
        </w:tc>
      </w:tr>
    </w:tbl>
    <w:p w:rsidR="00DE0012" w:rsidRDefault="00DE0012" w:rsidP="003A08A1"/>
    <w:p w:rsidR="003A08A1" w:rsidRDefault="000A0E68" w:rsidP="004C610C">
      <w:pPr>
        <w:autoSpaceDE w:val="0"/>
        <w:autoSpaceDN w:val="0"/>
        <w:adjustRightInd w:val="0"/>
        <w:spacing w:after="0" w:line="240" w:lineRule="auto"/>
        <w:rPr>
          <w:rFonts w:ascii="Arial" w:hAnsi="Arial" w:cs="Arial"/>
          <w:b/>
          <w:bCs/>
        </w:rPr>
      </w:pPr>
      <w:r>
        <w:rPr>
          <w:rFonts w:ascii="Arial" w:hAnsi="Arial" w:cs="Arial"/>
          <w:b/>
          <w:bCs/>
        </w:rPr>
        <w:t>3.</w:t>
      </w:r>
      <w:r w:rsidR="003A08A1" w:rsidRPr="00816F98">
        <w:rPr>
          <w:rFonts w:ascii="Arial" w:hAnsi="Arial" w:cs="Arial"/>
          <w:b/>
          <w:bCs/>
        </w:rPr>
        <w:tab/>
      </w:r>
      <w:r w:rsidR="002931E4">
        <w:rPr>
          <w:rFonts w:ascii="Arial" w:eastAsiaTheme="minorHAnsi" w:hAnsi="Arial" w:cs="Arial"/>
          <w:b/>
          <w:bCs/>
        </w:rPr>
        <w:t xml:space="preserve">Time Series Decomposition </w:t>
      </w:r>
      <w:r w:rsidR="003A08A1" w:rsidRPr="00816F98">
        <w:rPr>
          <w:rFonts w:ascii="Arial" w:hAnsi="Arial" w:cs="Arial"/>
          <w:b/>
          <w:bCs/>
        </w:rPr>
        <w:t xml:space="preserve">Analysis </w:t>
      </w:r>
      <w:r w:rsidR="002931E4">
        <w:rPr>
          <w:rFonts w:ascii="Arial" w:hAnsi="Arial" w:cs="Arial"/>
          <w:b/>
          <w:bCs/>
        </w:rPr>
        <w:t>for the Product</w:t>
      </w:r>
    </w:p>
    <w:p w:rsidR="003A7549" w:rsidRPr="00834A9D" w:rsidRDefault="000A0E68" w:rsidP="003A7549">
      <w:pPr>
        <w:autoSpaceDE w:val="0"/>
        <w:autoSpaceDN w:val="0"/>
        <w:adjustRightInd w:val="0"/>
        <w:spacing w:after="0" w:line="240" w:lineRule="auto"/>
        <w:rPr>
          <w:rFonts w:ascii="Times New Roman" w:eastAsiaTheme="minorHAnsi" w:hAnsi="Times New Roman"/>
          <w:sz w:val="24"/>
          <w:szCs w:val="24"/>
        </w:rPr>
      </w:pPr>
      <w:r w:rsidRPr="00834A9D">
        <w:rPr>
          <w:rFonts w:ascii="Times New Roman" w:eastAsiaTheme="minorHAnsi" w:hAnsi="Times New Roman"/>
          <w:sz w:val="24"/>
          <w:szCs w:val="24"/>
        </w:rPr>
        <w:t>Table 2:</w:t>
      </w:r>
      <w:r w:rsidRPr="00834A9D">
        <w:rPr>
          <w:rFonts w:ascii="Times New Roman" w:eastAsiaTheme="minorHAnsi" w:hAnsi="Times New Roman"/>
          <w:sz w:val="24"/>
          <w:szCs w:val="24"/>
        </w:rPr>
        <w:tab/>
      </w:r>
      <w:r w:rsidR="003A7549" w:rsidRPr="00834A9D">
        <w:rPr>
          <w:rFonts w:ascii="Times New Roman" w:eastAsiaTheme="minorHAnsi" w:hAnsi="Times New Roman"/>
          <w:sz w:val="24"/>
          <w:szCs w:val="24"/>
        </w:rPr>
        <w:t>Seasonal Indices</w:t>
      </w:r>
    </w:p>
    <w:tbl>
      <w:tblPr>
        <w:tblStyle w:val="MediumShading1-Accent5"/>
        <w:tblW w:w="0" w:type="auto"/>
        <w:tblLook w:val="04A0"/>
      </w:tblPr>
      <w:tblGrid>
        <w:gridCol w:w="1998"/>
      </w:tblGrid>
      <w:tr w:rsidR="00CE7D8D" w:rsidRPr="00CE7D8D" w:rsidTr="00CE7D8D">
        <w:trPr>
          <w:cnfStyle w:val="10000000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Period     Index</w:t>
            </w:r>
          </w:p>
        </w:tc>
      </w:tr>
      <w:tr w:rsidR="00CE7D8D" w:rsidRPr="00CE7D8D" w:rsidTr="00CE7D8D">
        <w:trPr>
          <w:cnfStyle w:val="00000010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 xml:space="preserve">     1   2838.44</w:t>
            </w:r>
          </w:p>
        </w:tc>
      </w:tr>
      <w:tr w:rsidR="00CE7D8D" w:rsidRPr="00CE7D8D" w:rsidTr="00CE7D8D">
        <w:trPr>
          <w:cnfStyle w:val="00000001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 xml:space="preserve">     2  -2211.06</w:t>
            </w:r>
          </w:p>
        </w:tc>
      </w:tr>
      <w:tr w:rsidR="00CE7D8D" w:rsidRPr="00CE7D8D" w:rsidTr="00CE7D8D">
        <w:trPr>
          <w:cnfStyle w:val="00000010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 xml:space="preserve">     3   -742.72</w:t>
            </w:r>
          </w:p>
        </w:tc>
      </w:tr>
      <w:tr w:rsidR="00CE7D8D" w:rsidRPr="00CE7D8D" w:rsidTr="00CE7D8D">
        <w:trPr>
          <w:cnfStyle w:val="00000001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 xml:space="preserve">     4  -1464.22</w:t>
            </w:r>
          </w:p>
        </w:tc>
      </w:tr>
      <w:tr w:rsidR="00CE7D8D" w:rsidRPr="00CE7D8D" w:rsidTr="00CE7D8D">
        <w:trPr>
          <w:cnfStyle w:val="00000010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 xml:space="preserve">     5   1065.61</w:t>
            </w:r>
          </w:p>
        </w:tc>
      </w:tr>
      <w:tr w:rsidR="00CE7D8D" w:rsidRPr="00CE7D8D" w:rsidTr="00CE7D8D">
        <w:trPr>
          <w:cnfStyle w:val="000000010000"/>
        </w:trPr>
        <w:tc>
          <w:tcPr>
            <w:cnfStyle w:val="001000000000"/>
            <w:tcW w:w="1998" w:type="dxa"/>
          </w:tcPr>
          <w:p w:rsidR="00CE7D8D" w:rsidRPr="00CE7D8D" w:rsidRDefault="00CE7D8D" w:rsidP="002917B2">
            <w:pPr>
              <w:autoSpaceDE w:val="0"/>
              <w:autoSpaceDN w:val="0"/>
              <w:adjustRightInd w:val="0"/>
              <w:rPr>
                <w:rFonts w:ascii="Courier New" w:eastAsiaTheme="minorHAnsi" w:hAnsi="Courier New" w:cs="Courier New"/>
                <w:sz w:val="18"/>
                <w:szCs w:val="18"/>
              </w:rPr>
            </w:pPr>
            <w:r w:rsidRPr="00CE7D8D">
              <w:rPr>
                <w:rFonts w:ascii="Courier New" w:eastAsiaTheme="minorHAnsi" w:hAnsi="Courier New" w:cs="Courier New"/>
                <w:sz w:val="18"/>
                <w:szCs w:val="18"/>
              </w:rPr>
              <w:t xml:space="preserve">     6    513.94</w:t>
            </w:r>
          </w:p>
        </w:tc>
      </w:tr>
    </w:tbl>
    <w:p w:rsidR="00834A9D" w:rsidRPr="00DD1539" w:rsidRDefault="00834A9D" w:rsidP="00DD1539">
      <w:pPr>
        <w:autoSpaceDE w:val="0"/>
        <w:autoSpaceDN w:val="0"/>
        <w:adjustRightInd w:val="0"/>
        <w:spacing w:after="0" w:line="240" w:lineRule="auto"/>
        <w:rPr>
          <w:rFonts w:ascii="Times New Roman" w:eastAsiaTheme="minorHAnsi" w:hAnsi="Times New Roman"/>
          <w:sz w:val="18"/>
          <w:szCs w:val="18"/>
        </w:rPr>
      </w:pPr>
      <w:r w:rsidRPr="00DD1539">
        <w:rPr>
          <w:rFonts w:ascii="Times New Roman" w:hAnsi="Times New Roman"/>
          <w:b/>
          <w:bCs/>
        </w:rPr>
        <w:lastRenderedPageBreak/>
        <w:t>Table 3:</w:t>
      </w:r>
      <w:r w:rsidRPr="00DD1539">
        <w:rPr>
          <w:rFonts w:ascii="Times New Roman" w:hAnsi="Times New Roman"/>
          <w:b/>
          <w:bCs/>
        </w:rPr>
        <w:tab/>
      </w:r>
      <w:r w:rsidRPr="00DD1539">
        <w:rPr>
          <w:rFonts w:ascii="Times New Roman" w:eastAsiaTheme="minorHAnsi" w:hAnsi="Times New Roman"/>
          <w:b/>
          <w:bCs/>
        </w:rPr>
        <w:t xml:space="preserve">Time Series Decomposition </w:t>
      </w:r>
      <w:r w:rsidRPr="00DD1539">
        <w:rPr>
          <w:rFonts w:ascii="Times New Roman" w:hAnsi="Times New Roman"/>
          <w:b/>
          <w:bCs/>
        </w:rPr>
        <w:t>Analysis</w:t>
      </w:r>
    </w:p>
    <w:tbl>
      <w:tblPr>
        <w:tblStyle w:val="MediumShading1-Accent6"/>
        <w:tblW w:w="0" w:type="auto"/>
        <w:tblLook w:val="04A0"/>
      </w:tblPr>
      <w:tblGrid>
        <w:gridCol w:w="7398"/>
      </w:tblGrid>
      <w:tr w:rsidR="00CE7D8D" w:rsidRPr="00CE7D8D" w:rsidTr="00DD1539">
        <w:trPr>
          <w:cnfStyle w:val="1000000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sz w:val="16"/>
                <w:szCs w:val="18"/>
              </w:rPr>
            </w:pPr>
            <w:r w:rsidRPr="00DD1539">
              <w:rPr>
                <w:rFonts w:ascii="Courier New" w:eastAsiaTheme="minorHAnsi" w:hAnsi="Courier New" w:cs="Courier New"/>
                <w:sz w:val="16"/>
                <w:szCs w:val="18"/>
              </w:rPr>
              <w:t>Time   Output    Trend  Seasonal   Detrend  Deseason  Predict     Error</w:t>
            </w:r>
          </w:p>
        </w:tc>
      </w:tr>
      <w:tr w:rsidR="00CE7D8D" w:rsidRPr="00CE7D8D" w:rsidTr="00DD1539">
        <w:trPr>
          <w:cnfStyle w:val="0000001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Jan      2860  6577.67   2838.44  -3717.67      21.6  9416.11  -6556.11</w:t>
            </w:r>
          </w:p>
        </w:tc>
      </w:tr>
      <w:tr w:rsidR="00CE7D8D" w:rsidRPr="00CE7D8D" w:rsidTr="00DD1539">
        <w:trPr>
          <w:cnfStyle w:val="00000001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Feb      2340  6577.67  -2211.06  -4237.67    4551.1  4366.61  -2026.61</w:t>
            </w:r>
          </w:p>
        </w:tc>
      </w:tr>
      <w:tr w:rsidR="00CE7D8D" w:rsidRPr="00CE7D8D" w:rsidTr="00DD1539">
        <w:trPr>
          <w:cnfStyle w:val="0000001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Mar      7600  6577.67   -742.72   1022.33    8342.7  5834.94   1765.06</w:t>
            </w:r>
          </w:p>
        </w:tc>
      </w:tr>
      <w:tr w:rsidR="00CE7D8D" w:rsidRPr="00CE7D8D" w:rsidTr="00DD1539">
        <w:trPr>
          <w:cnfStyle w:val="00000001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Apr      4560  6577.67  -1464.22  -2017.67    6024.2  5113.44   -553.44</w:t>
            </w:r>
          </w:p>
        </w:tc>
      </w:tr>
      <w:tr w:rsidR="00CE7D8D" w:rsidRPr="00CE7D8D" w:rsidTr="00DD1539">
        <w:trPr>
          <w:cnfStyle w:val="0000001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May      8060  6577.67   1065.61   1482.33    6994.4  7643.28    416.72</w:t>
            </w:r>
          </w:p>
        </w:tc>
      </w:tr>
      <w:tr w:rsidR="00CE7D8D" w:rsidRPr="00CE7D8D" w:rsidTr="00DD1539">
        <w:trPr>
          <w:cnfStyle w:val="00000001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Jun      7750  6577.67    513.94   1172.33    7236.1  7091.61    658.39</w:t>
            </w:r>
          </w:p>
        </w:tc>
      </w:tr>
      <w:tr w:rsidR="00CE7D8D" w:rsidRPr="00CE7D8D" w:rsidTr="00DD1539">
        <w:trPr>
          <w:cnfStyle w:val="0000001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Jul     10822  6577.67   2838.44   4244.33    7983.6  9416.11   1405.89</w:t>
            </w:r>
          </w:p>
        </w:tc>
      </w:tr>
      <w:tr w:rsidR="00CE7D8D" w:rsidRPr="00CE7D8D" w:rsidTr="00DD1539">
        <w:trPr>
          <w:cnfStyle w:val="00000001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Aug      6020  6577.67  -2211.06   -557.67    8231.1  4366.61   1653.39</w:t>
            </w:r>
          </w:p>
        </w:tc>
      </w:tr>
      <w:tr w:rsidR="00CE7D8D" w:rsidRPr="00CE7D8D" w:rsidTr="00DD1539">
        <w:trPr>
          <w:cnfStyle w:val="0000001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Sep      6820  6577.67   -742.72    242.33    7562.7  5834.94    985.06</w:t>
            </w:r>
          </w:p>
        </w:tc>
      </w:tr>
      <w:tr w:rsidR="00CE7D8D" w:rsidRPr="00CE7D8D" w:rsidTr="00DD1539">
        <w:trPr>
          <w:cnfStyle w:val="00000001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Oct     14310  6577.67  -1464.22   7732.33   15774.2  5113.44   9196.56</w:t>
            </w:r>
          </w:p>
        </w:tc>
      </w:tr>
      <w:tr w:rsidR="00CE7D8D" w:rsidRPr="00CE7D8D" w:rsidTr="00DD1539">
        <w:trPr>
          <w:cnfStyle w:val="00000010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Nov      1280  6577.67   1065.61  -5297.67     214.4  7643.28  -6363.28</w:t>
            </w:r>
          </w:p>
        </w:tc>
      </w:tr>
      <w:tr w:rsidR="00CE7D8D" w:rsidRPr="00CE7D8D" w:rsidTr="00DD1539">
        <w:trPr>
          <w:cnfStyle w:val="000000010000"/>
        </w:trPr>
        <w:tc>
          <w:tcPr>
            <w:cnfStyle w:val="001000000000"/>
            <w:tcW w:w="7398" w:type="dxa"/>
          </w:tcPr>
          <w:p w:rsidR="00CE7D8D" w:rsidRPr="00DD1539" w:rsidRDefault="00CE7D8D" w:rsidP="00FF6200">
            <w:pPr>
              <w:autoSpaceDE w:val="0"/>
              <w:autoSpaceDN w:val="0"/>
              <w:adjustRightInd w:val="0"/>
              <w:rPr>
                <w:rFonts w:ascii="Courier New" w:eastAsiaTheme="minorHAnsi" w:hAnsi="Courier New" w:cs="Courier New"/>
                <w:b w:val="0"/>
                <w:sz w:val="16"/>
                <w:szCs w:val="18"/>
              </w:rPr>
            </w:pPr>
            <w:r w:rsidRPr="00DD1539">
              <w:rPr>
                <w:rFonts w:ascii="Courier New" w:eastAsiaTheme="minorHAnsi" w:hAnsi="Courier New" w:cs="Courier New"/>
                <w:b w:val="0"/>
                <w:sz w:val="16"/>
                <w:szCs w:val="18"/>
              </w:rPr>
              <w:t>Dec      6510  6577.67    513.94    -67.67    5996.1  7091.61   -581.61</w:t>
            </w:r>
          </w:p>
        </w:tc>
      </w:tr>
    </w:tbl>
    <w:p w:rsidR="003A7549" w:rsidRDefault="003A7549" w:rsidP="003A7549">
      <w:pPr>
        <w:autoSpaceDE w:val="0"/>
        <w:autoSpaceDN w:val="0"/>
        <w:adjustRightInd w:val="0"/>
        <w:spacing w:after="0" w:line="240" w:lineRule="auto"/>
        <w:rPr>
          <w:rFonts w:ascii="Courier New" w:eastAsiaTheme="minorHAnsi" w:hAnsi="Courier New" w:cs="Courier New"/>
          <w:sz w:val="18"/>
          <w:szCs w:val="18"/>
        </w:rPr>
      </w:pPr>
    </w:p>
    <w:p w:rsidR="003A7549" w:rsidRPr="00834A9D" w:rsidRDefault="00834A9D" w:rsidP="003A7549">
      <w:pPr>
        <w:autoSpaceDE w:val="0"/>
        <w:autoSpaceDN w:val="0"/>
        <w:adjustRightInd w:val="0"/>
        <w:spacing w:after="0" w:line="240" w:lineRule="auto"/>
        <w:rPr>
          <w:rFonts w:ascii="Times New Roman" w:eastAsiaTheme="minorHAnsi" w:hAnsi="Times New Roman"/>
          <w:sz w:val="24"/>
          <w:szCs w:val="18"/>
        </w:rPr>
      </w:pPr>
      <w:r w:rsidRPr="00834A9D">
        <w:rPr>
          <w:rFonts w:ascii="Times New Roman" w:eastAsiaTheme="minorHAnsi" w:hAnsi="Times New Roman"/>
          <w:sz w:val="24"/>
          <w:szCs w:val="18"/>
        </w:rPr>
        <w:t xml:space="preserve">Table 4:   </w:t>
      </w:r>
      <w:r w:rsidR="003A7549" w:rsidRPr="00834A9D">
        <w:rPr>
          <w:rFonts w:ascii="Times New Roman" w:eastAsiaTheme="minorHAnsi" w:hAnsi="Times New Roman"/>
          <w:sz w:val="24"/>
          <w:szCs w:val="18"/>
        </w:rPr>
        <w:t>Forecast</w:t>
      </w:r>
      <w:r w:rsidRPr="00834A9D">
        <w:rPr>
          <w:rFonts w:ascii="Times New Roman" w:eastAsiaTheme="minorHAnsi" w:hAnsi="Times New Roman"/>
          <w:sz w:val="24"/>
          <w:szCs w:val="18"/>
        </w:rPr>
        <w:t>ing result of time series decomposition</w:t>
      </w:r>
    </w:p>
    <w:tbl>
      <w:tblPr>
        <w:tblStyle w:val="LightList-Accent3"/>
        <w:tblW w:w="0" w:type="auto"/>
        <w:tblLook w:val="04A0"/>
      </w:tblPr>
      <w:tblGrid>
        <w:gridCol w:w="1998"/>
      </w:tblGrid>
      <w:tr w:rsidR="00DE0012" w:rsidRPr="00DE0012" w:rsidTr="00DE0012">
        <w:trPr>
          <w:cnfStyle w:val="100000000000"/>
        </w:trPr>
        <w:tc>
          <w:tcPr>
            <w:cnfStyle w:val="001000000000"/>
            <w:tcW w:w="1998" w:type="dxa"/>
          </w:tcPr>
          <w:p w:rsidR="00DE0012" w:rsidRPr="00DE0012" w:rsidRDefault="00DE0012" w:rsidP="00386947">
            <w:pPr>
              <w:autoSpaceDE w:val="0"/>
              <w:autoSpaceDN w:val="0"/>
              <w:adjustRightInd w:val="0"/>
              <w:rPr>
                <w:rFonts w:ascii="Courier New" w:eastAsiaTheme="minorHAnsi" w:hAnsi="Courier New" w:cs="Courier New"/>
                <w:sz w:val="18"/>
                <w:szCs w:val="18"/>
              </w:rPr>
            </w:pPr>
            <w:r w:rsidRPr="00DE0012">
              <w:rPr>
                <w:rFonts w:ascii="Courier New" w:eastAsiaTheme="minorHAnsi" w:hAnsi="Courier New" w:cs="Courier New"/>
                <w:sz w:val="18"/>
                <w:szCs w:val="18"/>
              </w:rPr>
              <w:t>Period  Forecast</w:t>
            </w:r>
          </w:p>
        </w:tc>
      </w:tr>
      <w:tr w:rsidR="00DE0012" w:rsidRPr="00DE0012" w:rsidTr="00DE0012">
        <w:trPr>
          <w:cnfStyle w:val="000000100000"/>
        </w:trPr>
        <w:tc>
          <w:tcPr>
            <w:cnfStyle w:val="001000000000"/>
            <w:tcW w:w="1998" w:type="dxa"/>
          </w:tcPr>
          <w:p w:rsidR="00DE0012" w:rsidRPr="00DE0012" w:rsidRDefault="00DE0012" w:rsidP="00386947">
            <w:pPr>
              <w:autoSpaceDE w:val="0"/>
              <w:autoSpaceDN w:val="0"/>
              <w:adjustRightInd w:val="0"/>
              <w:rPr>
                <w:rFonts w:ascii="Courier New" w:eastAsiaTheme="minorHAnsi" w:hAnsi="Courier New" w:cs="Courier New"/>
                <w:sz w:val="18"/>
                <w:szCs w:val="18"/>
              </w:rPr>
            </w:pPr>
            <w:r w:rsidRPr="00DE0012">
              <w:rPr>
                <w:rFonts w:ascii="Courier New" w:eastAsiaTheme="minorHAnsi" w:hAnsi="Courier New" w:cs="Courier New"/>
                <w:sz w:val="18"/>
                <w:szCs w:val="18"/>
              </w:rPr>
              <w:t>Jan      9416.11</w:t>
            </w:r>
          </w:p>
        </w:tc>
      </w:tr>
    </w:tbl>
    <w:p w:rsidR="003A7549" w:rsidRDefault="003A7549" w:rsidP="003A7549">
      <w:pPr>
        <w:autoSpaceDE w:val="0"/>
        <w:autoSpaceDN w:val="0"/>
        <w:adjustRightInd w:val="0"/>
        <w:spacing w:after="0" w:line="240" w:lineRule="auto"/>
        <w:rPr>
          <w:rFonts w:ascii="Courier New" w:eastAsiaTheme="minorHAnsi" w:hAnsi="Courier New" w:cs="Courier New"/>
          <w:noProof/>
          <w:sz w:val="18"/>
          <w:szCs w:val="18"/>
        </w:rPr>
      </w:pPr>
    </w:p>
    <w:p w:rsidR="00834A9D" w:rsidRDefault="00834A9D" w:rsidP="003A7549">
      <w:pPr>
        <w:autoSpaceDE w:val="0"/>
        <w:autoSpaceDN w:val="0"/>
        <w:adjustRightInd w:val="0"/>
        <w:spacing w:after="0" w:line="240" w:lineRule="auto"/>
        <w:rPr>
          <w:rFonts w:ascii="Courier New" w:eastAsiaTheme="minorHAnsi" w:hAnsi="Courier New" w:cs="Courier New"/>
          <w:sz w:val="18"/>
          <w:szCs w:val="18"/>
        </w:rPr>
      </w:pPr>
      <w:r w:rsidRPr="00834A9D">
        <w:rPr>
          <w:rFonts w:ascii="Courier New" w:eastAsiaTheme="minorHAnsi" w:hAnsi="Courier New" w:cs="Courier New"/>
          <w:noProof/>
          <w:sz w:val="18"/>
          <w:szCs w:val="18"/>
        </w:rPr>
        <w:drawing>
          <wp:inline distT="0" distB="0" distL="0" distR="0">
            <wp:extent cx="4286250" cy="2628900"/>
            <wp:effectExtent l="1905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srcRect/>
                    <a:stretch>
                      <a:fillRect/>
                    </a:stretch>
                  </pic:blipFill>
                  <pic:spPr bwMode="auto">
                    <a:xfrm>
                      <a:off x="0" y="0"/>
                      <a:ext cx="4285914" cy="2628694"/>
                    </a:xfrm>
                    <a:prstGeom prst="rect">
                      <a:avLst/>
                    </a:prstGeom>
                    <a:noFill/>
                    <a:ln w="9525">
                      <a:noFill/>
                      <a:miter lim="800000"/>
                      <a:headEnd/>
                      <a:tailEnd/>
                    </a:ln>
                  </pic:spPr>
                </pic:pic>
              </a:graphicData>
            </a:graphic>
          </wp:inline>
        </w:drawing>
      </w:r>
    </w:p>
    <w:p w:rsidR="003A7549" w:rsidRDefault="00230E30" w:rsidP="003A7549">
      <w:pPr>
        <w:autoSpaceDE w:val="0"/>
        <w:autoSpaceDN w:val="0"/>
        <w:adjustRightInd w:val="0"/>
        <w:spacing w:after="0" w:line="240" w:lineRule="auto"/>
        <w:rPr>
          <w:rFonts w:ascii="Times New Roman" w:eastAsiaTheme="minorHAnsi" w:hAnsi="Times New Roman"/>
          <w:b/>
          <w:bCs/>
          <w:sz w:val="24"/>
        </w:rPr>
      </w:pPr>
      <w:r w:rsidRPr="00834A9D">
        <w:rPr>
          <w:rFonts w:ascii="Times New Roman" w:eastAsiaTheme="minorHAnsi" w:hAnsi="Times New Roman"/>
          <w:b/>
          <w:bCs/>
          <w:sz w:val="24"/>
        </w:rPr>
        <w:t>Fig 1:</w:t>
      </w:r>
      <w:r w:rsidRPr="00834A9D">
        <w:rPr>
          <w:rFonts w:ascii="Times New Roman" w:eastAsiaTheme="minorHAnsi" w:hAnsi="Times New Roman"/>
          <w:b/>
          <w:bCs/>
          <w:sz w:val="24"/>
        </w:rPr>
        <w:tab/>
      </w:r>
      <w:r w:rsidR="003A7549" w:rsidRPr="00834A9D">
        <w:rPr>
          <w:rFonts w:ascii="Times New Roman" w:eastAsiaTheme="minorHAnsi" w:hAnsi="Times New Roman"/>
          <w:b/>
          <w:bCs/>
          <w:sz w:val="24"/>
        </w:rPr>
        <w:t xml:space="preserve">Time Series Decomposition Plot for Output (units) </w:t>
      </w:r>
    </w:p>
    <w:p w:rsidR="00DD1539" w:rsidRPr="00DD1539" w:rsidRDefault="00DD1539" w:rsidP="00DD1539">
      <w:pPr>
        <w:autoSpaceDE w:val="0"/>
        <w:autoSpaceDN w:val="0"/>
        <w:adjustRightInd w:val="0"/>
        <w:spacing w:after="0" w:line="240" w:lineRule="auto"/>
        <w:rPr>
          <w:rFonts w:ascii="Times New Roman" w:eastAsiaTheme="minorHAnsi" w:hAnsi="Times New Roman"/>
          <w:b/>
          <w:bCs/>
          <w:sz w:val="20"/>
        </w:rPr>
      </w:pPr>
    </w:p>
    <w:p w:rsidR="003A7549" w:rsidRDefault="003A7549" w:rsidP="003A7549">
      <w:pPr>
        <w:autoSpaceDE w:val="0"/>
        <w:autoSpaceDN w:val="0"/>
        <w:adjustRightInd w:val="0"/>
        <w:spacing w:after="0" w:line="240" w:lineRule="auto"/>
        <w:rPr>
          <w:rFonts w:ascii="Courier New" w:eastAsiaTheme="minorHAnsi" w:hAnsi="Courier New" w:cs="Courier New"/>
          <w:sz w:val="18"/>
          <w:szCs w:val="18"/>
        </w:rPr>
      </w:pPr>
      <w:r>
        <w:rPr>
          <w:rFonts w:ascii="Courier New" w:eastAsiaTheme="minorHAnsi" w:hAnsi="Courier New" w:cs="Courier New"/>
          <w:noProof/>
          <w:sz w:val="18"/>
          <w:szCs w:val="18"/>
        </w:rPr>
        <w:drawing>
          <wp:inline distT="0" distB="0" distL="0" distR="0">
            <wp:extent cx="4086796" cy="2524125"/>
            <wp:effectExtent l="19050" t="0" r="8954"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srcRect/>
                    <a:stretch>
                      <a:fillRect/>
                    </a:stretch>
                  </pic:blipFill>
                  <pic:spPr bwMode="auto">
                    <a:xfrm>
                      <a:off x="0" y="0"/>
                      <a:ext cx="4089813" cy="2525989"/>
                    </a:xfrm>
                    <a:prstGeom prst="rect">
                      <a:avLst/>
                    </a:prstGeom>
                    <a:noFill/>
                    <a:ln w="9525">
                      <a:noFill/>
                      <a:miter lim="800000"/>
                      <a:headEnd/>
                      <a:tailEnd/>
                    </a:ln>
                  </pic:spPr>
                </pic:pic>
              </a:graphicData>
            </a:graphic>
          </wp:inline>
        </w:drawing>
      </w:r>
    </w:p>
    <w:p w:rsidR="003A7549" w:rsidRPr="00834A9D" w:rsidRDefault="00230E30" w:rsidP="003A7549">
      <w:pPr>
        <w:autoSpaceDE w:val="0"/>
        <w:autoSpaceDN w:val="0"/>
        <w:adjustRightInd w:val="0"/>
        <w:spacing w:after="0" w:line="240" w:lineRule="auto"/>
        <w:rPr>
          <w:rFonts w:ascii="Times New Roman" w:eastAsiaTheme="minorHAnsi" w:hAnsi="Times New Roman"/>
          <w:b/>
          <w:bCs/>
          <w:sz w:val="24"/>
        </w:rPr>
      </w:pPr>
      <w:r w:rsidRPr="00834A9D">
        <w:rPr>
          <w:rFonts w:ascii="Times New Roman" w:eastAsiaTheme="minorHAnsi" w:hAnsi="Times New Roman"/>
          <w:b/>
          <w:bCs/>
          <w:sz w:val="24"/>
        </w:rPr>
        <w:t>Fig 2:</w:t>
      </w:r>
      <w:r w:rsidRPr="00834A9D">
        <w:rPr>
          <w:rFonts w:ascii="Times New Roman" w:eastAsiaTheme="minorHAnsi" w:hAnsi="Times New Roman"/>
          <w:b/>
          <w:bCs/>
          <w:sz w:val="24"/>
        </w:rPr>
        <w:tab/>
      </w:r>
      <w:r w:rsidR="003A7549" w:rsidRPr="00834A9D">
        <w:rPr>
          <w:rFonts w:ascii="Times New Roman" w:eastAsiaTheme="minorHAnsi" w:hAnsi="Times New Roman"/>
          <w:b/>
          <w:bCs/>
          <w:sz w:val="24"/>
        </w:rPr>
        <w:t xml:space="preserve">Decomposition - Component Analysis for Output (units) </w:t>
      </w:r>
    </w:p>
    <w:p w:rsidR="003A7549" w:rsidRPr="00834A9D" w:rsidRDefault="003A7549" w:rsidP="003A7549">
      <w:pPr>
        <w:autoSpaceDE w:val="0"/>
        <w:autoSpaceDN w:val="0"/>
        <w:adjustRightInd w:val="0"/>
        <w:spacing w:after="0" w:line="240" w:lineRule="auto"/>
        <w:rPr>
          <w:rFonts w:ascii="Times New Roman" w:eastAsiaTheme="minorHAnsi" w:hAnsi="Times New Roman"/>
          <w:b/>
          <w:bCs/>
          <w:sz w:val="24"/>
        </w:rPr>
      </w:pPr>
      <w:r w:rsidRPr="00834A9D">
        <w:rPr>
          <w:rFonts w:ascii="Times New Roman" w:eastAsiaTheme="minorHAnsi" w:hAnsi="Times New Roman"/>
          <w:b/>
          <w:bCs/>
          <w:noProof/>
          <w:sz w:val="24"/>
        </w:rPr>
        <w:lastRenderedPageBreak/>
        <w:drawing>
          <wp:inline distT="0" distB="0" distL="0" distR="0">
            <wp:extent cx="4267200" cy="27717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srcRect/>
                    <a:stretch>
                      <a:fillRect/>
                    </a:stretch>
                  </pic:blipFill>
                  <pic:spPr bwMode="auto">
                    <a:xfrm>
                      <a:off x="0" y="0"/>
                      <a:ext cx="4272858" cy="2775450"/>
                    </a:xfrm>
                    <a:prstGeom prst="rect">
                      <a:avLst/>
                    </a:prstGeom>
                    <a:noFill/>
                    <a:ln w="9525">
                      <a:noFill/>
                      <a:miter lim="800000"/>
                      <a:headEnd/>
                      <a:tailEnd/>
                    </a:ln>
                  </pic:spPr>
                </pic:pic>
              </a:graphicData>
            </a:graphic>
          </wp:inline>
        </w:drawing>
      </w:r>
    </w:p>
    <w:p w:rsidR="003A7549" w:rsidRPr="00DD1539" w:rsidRDefault="00230E30" w:rsidP="00DD1539">
      <w:pPr>
        <w:autoSpaceDE w:val="0"/>
        <w:autoSpaceDN w:val="0"/>
        <w:adjustRightInd w:val="0"/>
        <w:spacing w:after="0" w:line="240" w:lineRule="auto"/>
        <w:rPr>
          <w:rFonts w:ascii="Times New Roman" w:eastAsiaTheme="minorHAnsi" w:hAnsi="Times New Roman"/>
          <w:b/>
          <w:bCs/>
        </w:rPr>
      </w:pPr>
      <w:r w:rsidRPr="00DD1539">
        <w:rPr>
          <w:rFonts w:ascii="Times New Roman" w:eastAsiaTheme="minorHAnsi" w:hAnsi="Times New Roman"/>
          <w:b/>
          <w:bCs/>
        </w:rPr>
        <w:t>Fig 3:</w:t>
      </w:r>
      <w:r w:rsidRPr="00DD1539">
        <w:rPr>
          <w:rFonts w:ascii="Times New Roman" w:eastAsiaTheme="minorHAnsi" w:hAnsi="Times New Roman"/>
          <w:b/>
          <w:bCs/>
        </w:rPr>
        <w:tab/>
      </w:r>
      <w:r w:rsidR="003A7549" w:rsidRPr="00DD1539">
        <w:rPr>
          <w:rFonts w:ascii="Times New Roman" w:eastAsiaTheme="minorHAnsi" w:hAnsi="Times New Roman"/>
          <w:b/>
          <w:bCs/>
        </w:rPr>
        <w:t xml:space="preserve">Decomposition - Seasonal Analysis for Output (units) </w:t>
      </w:r>
    </w:p>
    <w:p w:rsidR="003A7549" w:rsidRPr="00DD1539" w:rsidRDefault="003A7549" w:rsidP="00DD1539">
      <w:pPr>
        <w:autoSpaceDE w:val="0"/>
        <w:autoSpaceDN w:val="0"/>
        <w:adjustRightInd w:val="0"/>
        <w:spacing w:after="0" w:line="240" w:lineRule="auto"/>
        <w:rPr>
          <w:rFonts w:ascii="Times New Roman" w:eastAsiaTheme="minorHAnsi" w:hAnsi="Times New Roman"/>
          <w:sz w:val="18"/>
          <w:szCs w:val="18"/>
        </w:rPr>
      </w:pPr>
    </w:p>
    <w:p w:rsidR="003A7549" w:rsidRPr="00DD1539" w:rsidRDefault="00834A9D" w:rsidP="00DD1539">
      <w:pPr>
        <w:autoSpaceDE w:val="0"/>
        <w:autoSpaceDN w:val="0"/>
        <w:adjustRightInd w:val="0"/>
        <w:spacing w:after="0" w:line="240" w:lineRule="auto"/>
        <w:rPr>
          <w:rFonts w:ascii="Times New Roman" w:eastAsiaTheme="minorHAnsi" w:hAnsi="Times New Roman"/>
          <w:b/>
          <w:bCs/>
        </w:rPr>
      </w:pPr>
      <w:r w:rsidRPr="00DD1539">
        <w:rPr>
          <w:rFonts w:ascii="Times New Roman" w:eastAsiaTheme="minorHAnsi" w:hAnsi="Times New Roman"/>
          <w:b/>
          <w:bCs/>
        </w:rPr>
        <w:t>Table 4:</w:t>
      </w:r>
      <w:r w:rsidRPr="00DD1539">
        <w:rPr>
          <w:rFonts w:ascii="Times New Roman" w:eastAsiaTheme="minorHAnsi" w:hAnsi="Times New Roman"/>
          <w:b/>
          <w:bCs/>
        </w:rPr>
        <w:tab/>
      </w:r>
      <w:r w:rsidR="003A7549" w:rsidRPr="00DD1539">
        <w:rPr>
          <w:rFonts w:ascii="Times New Roman" w:eastAsiaTheme="minorHAnsi" w:hAnsi="Times New Roman"/>
          <w:b/>
          <w:bCs/>
        </w:rPr>
        <w:t>Winters' Method for Output</w:t>
      </w:r>
    </w:p>
    <w:tbl>
      <w:tblPr>
        <w:tblStyle w:val="MediumShading1-Accent2"/>
        <w:tblW w:w="0" w:type="auto"/>
        <w:tblLook w:val="04A0"/>
      </w:tblPr>
      <w:tblGrid>
        <w:gridCol w:w="3888"/>
      </w:tblGrid>
      <w:tr w:rsidR="00DE0012" w:rsidRPr="00DD1539" w:rsidTr="00DD1539">
        <w:trPr>
          <w:cnfStyle w:val="100000000000"/>
        </w:trPr>
        <w:tc>
          <w:tcPr>
            <w:cnfStyle w:val="001000000000"/>
            <w:tcW w:w="3888" w:type="dxa"/>
          </w:tcPr>
          <w:p w:rsidR="00DE0012" w:rsidRPr="00DD1539" w:rsidRDefault="00DE0012" w:rsidP="00DE0012">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Time   Output   Smooth  Predict     Error</w:t>
            </w:r>
          </w:p>
        </w:tc>
      </w:tr>
      <w:tr w:rsidR="00DE0012" w:rsidRPr="00DD1539" w:rsidTr="00DD1539">
        <w:trPr>
          <w:cnfStyle w:val="00000010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Jan      2860   1752.9   2908.7    -48.67</w:t>
            </w:r>
          </w:p>
        </w:tc>
      </w:tr>
      <w:tr w:rsidR="00DE0012" w:rsidRPr="00DD1539" w:rsidTr="00DD1539">
        <w:trPr>
          <w:cnfStyle w:val="00000001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Feb      2340   1764.7   2467.1   -127.12</w:t>
            </w:r>
          </w:p>
        </w:tc>
      </w:tr>
      <w:tr w:rsidR="00DE0012" w:rsidRPr="00DD1539" w:rsidTr="00DD1539">
        <w:trPr>
          <w:cnfStyle w:val="00000010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Mar      7600   4225.3   5432.0   2168.00</w:t>
            </w:r>
          </w:p>
        </w:tc>
      </w:tr>
      <w:tr w:rsidR="00DE0012" w:rsidRPr="00DD1539" w:rsidTr="00DD1539">
        <w:trPr>
          <w:cnfStyle w:val="00000001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Apr      4560   7540.3   9203.0  -4642.96</w:t>
            </w:r>
          </w:p>
        </w:tc>
      </w:tr>
      <w:tr w:rsidR="00DE0012" w:rsidRPr="00DD1539" w:rsidTr="00DD1539">
        <w:trPr>
          <w:cnfStyle w:val="00000010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May      8060   4168.6   4912.7   3147.26</w:t>
            </w:r>
          </w:p>
        </w:tc>
      </w:tr>
      <w:tr w:rsidR="00DE0012" w:rsidRPr="00DD1539" w:rsidTr="00DD1539">
        <w:trPr>
          <w:cnfStyle w:val="00000001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Jun      7750   8303.8   9607.3  -1857.31</w:t>
            </w:r>
          </w:p>
        </w:tc>
      </w:tr>
      <w:tr w:rsidR="00DE0012" w:rsidRPr="00DD1539" w:rsidTr="00DD1539">
        <w:trPr>
          <w:cnfStyle w:val="00000010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Jul     10822   9011.0  10210.2    611.78</w:t>
            </w:r>
          </w:p>
        </w:tc>
      </w:tr>
      <w:tr w:rsidR="00DE0012" w:rsidRPr="00DD1539" w:rsidTr="00DD1539">
        <w:trPr>
          <w:cnfStyle w:val="00000001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Aug      6020   6254.4   6995.1   -975.10</w:t>
            </w:r>
          </w:p>
        </w:tc>
      </w:tr>
      <w:tr w:rsidR="00DE0012" w:rsidRPr="00DD1539" w:rsidTr="00DD1539">
        <w:trPr>
          <w:cnfStyle w:val="00000010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Sep      6820  12568.0  13865.0  -7044.98</w:t>
            </w:r>
          </w:p>
        </w:tc>
      </w:tr>
      <w:tr w:rsidR="00DE0012" w:rsidRPr="00DD1539" w:rsidTr="00DD1539">
        <w:trPr>
          <w:cnfStyle w:val="00000001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Oct     14310  13760.9  14882.4   -572.41</w:t>
            </w:r>
          </w:p>
        </w:tc>
      </w:tr>
      <w:tr w:rsidR="00DE0012" w:rsidRPr="00DD1539" w:rsidTr="00DD1539">
        <w:trPr>
          <w:cnfStyle w:val="00000010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Nov      1280   8916.7   9580.0  -8299.98</w:t>
            </w:r>
          </w:p>
        </w:tc>
      </w:tr>
      <w:tr w:rsidR="00DE0012" w:rsidRPr="00DD1539" w:rsidTr="00DD1539">
        <w:trPr>
          <w:cnfStyle w:val="000000010000"/>
        </w:trPr>
        <w:tc>
          <w:tcPr>
            <w:cnfStyle w:val="001000000000"/>
            <w:tcW w:w="3888" w:type="dxa"/>
          </w:tcPr>
          <w:p w:rsidR="00DE0012" w:rsidRPr="00DD1539" w:rsidRDefault="00DE0012" w:rsidP="00EE759D">
            <w:pPr>
              <w:autoSpaceDE w:val="0"/>
              <w:autoSpaceDN w:val="0"/>
              <w:adjustRightInd w:val="0"/>
              <w:rPr>
                <w:rFonts w:ascii="Times New Roman" w:eastAsiaTheme="minorHAnsi" w:hAnsi="Times New Roman"/>
                <w:b w:val="0"/>
                <w:sz w:val="20"/>
                <w:szCs w:val="18"/>
              </w:rPr>
            </w:pPr>
            <w:r w:rsidRPr="00DD1539">
              <w:rPr>
                <w:rFonts w:ascii="Times New Roman" w:eastAsiaTheme="minorHAnsi" w:hAnsi="Times New Roman"/>
                <w:b w:val="0"/>
                <w:sz w:val="20"/>
                <w:szCs w:val="18"/>
              </w:rPr>
              <w:t>Dec      6510  10528.1  10968.5  -4458.48</w:t>
            </w:r>
          </w:p>
        </w:tc>
      </w:tr>
    </w:tbl>
    <w:p w:rsidR="003A7549" w:rsidRPr="00AD3554" w:rsidRDefault="00834A9D" w:rsidP="00AD3554">
      <w:pPr>
        <w:autoSpaceDE w:val="0"/>
        <w:autoSpaceDN w:val="0"/>
        <w:adjustRightInd w:val="0"/>
        <w:spacing w:after="0" w:line="240" w:lineRule="auto"/>
        <w:rPr>
          <w:rFonts w:ascii="Times New Roman" w:eastAsiaTheme="minorHAnsi" w:hAnsi="Times New Roman"/>
          <w:sz w:val="24"/>
          <w:szCs w:val="24"/>
        </w:rPr>
      </w:pPr>
      <w:r w:rsidRPr="00AD3554">
        <w:rPr>
          <w:rFonts w:ascii="Times New Roman" w:eastAsiaTheme="minorHAnsi" w:hAnsi="Times New Roman"/>
          <w:sz w:val="24"/>
          <w:szCs w:val="24"/>
        </w:rPr>
        <w:t xml:space="preserve">Table 5:   </w:t>
      </w:r>
      <w:r w:rsidR="003A7549" w:rsidRPr="00AD3554">
        <w:rPr>
          <w:rFonts w:ascii="Times New Roman" w:eastAsiaTheme="minorHAnsi" w:hAnsi="Times New Roman"/>
          <w:sz w:val="24"/>
          <w:szCs w:val="24"/>
        </w:rPr>
        <w:t>Forecast</w:t>
      </w:r>
      <w:r w:rsidRPr="00AD3554">
        <w:rPr>
          <w:rFonts w:ascii="Times New Roman" w:eastAsiaTheme="minorHAnsi" w:hAnsi="Times New Roman"/>
          <w:sz w:val="24"/>
          <w:szCs w:val="24"/>
        </w:rPr>
        <w:t>ing re</w:t>
      </w:r>
      <w:r w:rsidR="003A7549" w:rsidRPr="00AD3554">
        <w:rPr>
          <w:rFonts w:ascii="Times New Roman" w:eastAsiaTheme="minorHAnsi" w:hAnsi="Times New Roman"/>
          <w:sz w:val="24"/>
          <w:szCs w:val="24"/>
        </w:rPr>
        <w:t>s</w:t>
      </w:r>
      <w:r w:rsidRPr="00AD3554">
        <w:rPr>
          <w:rFonts w:ascii="Times New Roman" w:eastAsiaTheme="minorHAnsi" w:hAnsi="Times New Roman"/>
          <w:sz w:val="24"/>
          <w:szCs w:val="24"/>
        </w:rPr>
        <w:t>ult of Winter’s Method</w:t>
      </w:r>
    </w:p>
    <w:tbl>
      <w:tblPr>
        <w:tblStyle w:val="MediumShading1-Accent3"/>
        <w:tblW w:w="0" w:type="auto"/>
        <w:tblInd w:w="198" w:type="dxa"/>
        <w:tblLook w:val="04A0"/>
      </w:tblPr>
      <w:tblGrid>
        <w:gridCol w:w="3978"/>
      </w:tblGrid>
      <w:tr w:rsidR="00DE0012" w:rsidRPr="00AD3554" w:rsidTr="00834A9D">
        <w:trPr>
          <w:cnfStyle w:val="100000000000"/>
        </w:trPr>
        <w:tc>
          <w:tcPr>
            <w:cnfStyle w:val="001000000000"/>
            <w:tcW w:w="3978" w:type="dxa"/>
          </w:tcPr>
          <w:p w:rsidR="00DE0012" w:rsidRPr="00AD3554" w:rsidRDefault="00DE0012" w:rsidP="00AD3554">
            <w:pPr>
              <w:autoSpaceDE w:val="0"/>
              <w:autoSpaceDN w:val="0"/>
              <w:adjustRightInd w:val="0"/>
              <w:rPr>
                <w:rFonts w:ascii="Times New Roman" w:eastAsiaTheme="minorHAnsi" w:hAnsi="Times New Roman"/>
                <w:sz w:val="24"/>
                <w:szCs w:val="24"/>
              </w:rPr>
            </w:pPr>
            <w:r w:rsidRPr="00AD3554">
              <w:rPr>
                <w:rFonts w:ascii="Times New Roman" w:eastAsiaTheme="minorHAnsi" w:hAnsi="Times New Roman"/>
                <w:sz w:val="24"/>
                <w:szCs w:val="24"/>
              </w:rPr>
              <w:t>Period  Forecast    Lower    Upper</w:t>
            </w:r>
          </w:p>
        </w:tc>
      </w:tr>
      <w:tr w:rsidR="00DE0012" w:rsidRPr="00AD3554" w:rsidTr="00834A9D">
        <w:trPr>
          <w:cnfStyle w:val="000000100000"/>
        </w:trPr>
        <w:tc>
          <w:tcPr>
            <w:cnfStyle w:val="001000000000"/>
            <w:tcW w:w="3978" w:type="dxa"/>
          </w:tcPr>
          <w:p w:rsidR="00DE0012" w:rsidRPr="00AD3554" w:rsidRDefault="00DE0012" w:rsidP="00AD3554">
            <w:pPr>
              <w:autoSpaceDE w:val="0"/>
              <w:autoSpaceDN w:val="0"/>
              <w:adjustRightInd w:val="0"/>
              <w:rPr>
                <w:rFonts w:ascii="Times New Roman" w:eastAsiaTheme="minorHAnsi" w:hAnsi="Times New Roman"/>
                <w:sz w:val="24"/>
                <w:szCs w:val="24"/>
              </w:rPr>
            </w:pPr>
            <w:r w:rsidRPr="00AD3554">
              <w:rPr>
                <w:rFonts w:ascii="Times New Roman" w:eastAsiaTheme="minorHAnsi" w:hAnsi="Times New Roman"/>
                <w:sz w:val="24"/>
                <w:szCs w:val="24"/>
              </w:rPr>
              <w:t>Jan      10521.2  3589.06  17453.4</w:t>
            </w:r>
          </w:p>
        </w:tc>
      </w:tr>
    </w:tbl>
    <w:p w:rsidR="003A7549" w:rsidRPr="00DD1539" w:rsidRDefault="003A7549" w:rsidP="00DD1539">
      <w:pPr>
        <w:autoSpaceDE w:val="0"/>
        <w:autoSpaceDN w:val="0"/>
        <w:adjustRightInd w:val="0"/>
        <w:spacing w:after="0" w:line="240" w:lineRule="auto"/>
        <w:rPr>
          <w:rFonts w:ascii="Times New Roman" w:eastAsiaTheme="minorHAnsi" w:hAnsi="Times New Roman"/>
          <w:szCs w:val="24"/>
        </w:rPr>
      </w:pPr>
      <w:r w:rsidRPr="00AD3554">
        <w:rPr>
          <w:rFonts w:ascii="Times New Roman" w:eastAsiaTheme="minorHAnsi" w:hAnsi="Times New Roman"/>
          <w:sz w:val="24"/>
          <w:szCs w:val="24"/>
        </w:rPr>
        <w:t xml:space="preserve"> </w:t>
      </w:r>
      <w:r w:rsidRPr="00DD1539">
        <w:rPr>
          <w:rFonts w:ascii="Times New Roman" w:eastAsiaTheme="minorHAnsi" w:hAnsi="Times New Roman"/>
          <w:noProof/>
          <w:szCs w:val="24"/>
        </w:rPr>
        <w:drawing>
          <wp:inline distT="0" distB="0" distL="0" distR="0">
            <wp:extent cx="4680868" cy="2190750"/>
            <wp:effectExtent l="19050" t="0" r="5432"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a:srcRect/>
                    <a:stretch>
                      <a:fillRect/>
                    </a:stretch>
                  </pic:blipFill>
                  <pic:spPr bwMode="auto">
                    <a:xfrm>
                      <a:off x="0" y="0"/>
                      <a:ext cx="4683579" cy="2192019"/>
                    </a:xfrm>
                    <a:prstGeom prst="rect">
                      <a:avLst/>
                    </a:prstGeom>
                    <a:noFill/>
                    <a:ln w="9525">
                      <a:noFill/>
                      <a:miter lim="800000"/>
                      <a:headEnd/>
                      <a:tailEnd/>
                    </a:ln>
                  </pic:spPr>
                </pic:pic>
              </a:graphicData>
            </a:graphic>
          </wp:inline>
        </w:drawing>
      </w:r>
    </w:p>
    <w:p w:rsidR="003A7549" w:rsidRPr="00DD1539" w:rsidRDefault="00230E30" w:rsidP="00DD1539">
      <w:pPr>
        <w:autoSpaceDE w:val="0"/>
        <w:autoSpaceDN w:val="0"/>
        <w:adjustRightInd w:val="0"/>
        <w:spacing w:after="0" w:line="240" w:lineRule="auto"/>
        <w:rPr>
          <w:rFonts w:ascii="Times New Roman" w:eastAsiaTheme="minorHAnsi" w:hAnsi="Times New Roman"/>
          <w:b/>
          <w:bCs/>
          <w:sz w:val="20"/>
          <w:szCs w:val="24"/>
        </w:rPr>
      </w:pPr>
      <w:r w:rsidRPr="00DD1539">
        <w:rPr>
          <w:rFonts w:ascii="Times New Roman" w:eastAsiaTheme="minorHAnsi" w:hAnsi="Times New Roman"/>
          <w:b/>
          <w:bCs/>
          <w:sz w:val="20"/>
          <w:szCs w:val="24"/>
        </w:rPr>
        <w:t>Fig 4:</w:t>
      </w:r>
      <w:r w:rsidRPr="00DD1539">
        <w:rPr>
          <w:rFonts w:ascii="Times New Roman" w:eastAsiaTheme="minorHAnsi" w:hAnsi="Times New Roman"/>
          <w:b/>
          <w:bCs/>
          <w:sz w:val="20"/>
          <w:szCs w:val="24"/>
        </w:rPr>
        <w:tab/>
      </w:r>
      <w:r w:rsidR="003A7549" w:rsidRPr="00DD1539">
        <w:rPr>
          <w:rFonts w:ascii="Times New Roman" w:eastAsiaTheme="minorHAnsi" w:hAnsi="Times New Roman"/>
          <w:b/>
          <w:bCs/>
          <w:sz w:val="20"/>
          <w:szCs w:val="24"/>
        </w:rPr>
        <w:t xml:space="preserve">Winters' Method Plot for Output </w:t>
      </w:r>
    </w:p>
    <w:p w:rsidR="001018E1" w:rsidRPr="00DD1539" w:rsidRDefault="001018E1" w:rsidP="00AD3554">
      <w:pPr>
        <w:autoSpaceDE w:val="0"/>
        <w:autoSpaceDN w:val="0"/>
        <w:adjustRightInd w:val="0"/>
        <w:spacing w:after="0" w:line="240" w:lineRule="auto"/>
        <w:rPr>
          <w:rFonts w:ascii="Times New Roman" w:eastAsiaTheme="minorHAnsi" w:hAnsi="Times New Roman"/>
          <w:b/>
          <w:bCs/>
          <w:szCs w:val="24"/>
        </w:rPr>
      </w:pPr>
    </w:p>
    <w:p w:rsidR="00CE7E6E" w:rsidRPr="00DD1539" w:rsidRDefault="00AD3554" w:rsidP="00AD3554">
      <w:pPr>
        <w:autoSpaceDE w:val="0"/>
        <w:autoSpaceDN w:val="0"/>
        <w:adjustRightInd w:val="0"/>
        <w:spacing w:after="0" w:line="240" w:lineRule="auto"/>
        <w:rPr>
          <w:rFonts w:ascii="Times New Roman" w:eastAsiaTheme="minorHAnsi" w:hAnsi="Times New Roman"/>
          <w:b/>
          <w:bCs/>
          <w:color w:val="000000"/>
          <w:szCs w:val="24"/>
        </w:rPr>
      </w:pPr>
      <w:r w:rsidRPr="00DD1539">
        <w:rPr>
          <w:rFonts w:ascii="Times New Roman" w:eastAsiaTheme="minorHAnsi" w:hAnsi="Times New Roman"/>
          <w:b/>
          <w:bCs/>
          <w:color w:val="000000"/>
          <w:szCs w:val="24"/>
        </w:rPr>
        <w:t>4.</w:t>
      </w:r>
      <w:r w:rsidRPr="00DD1539">
        <w:rPr>
          <w:rFonts w:ascii="Times New Roman" w:eastAsiaTheme="minorHAnsi" w:hAnsi="Times New Roman"/>
          <w:b/>
          <w:bCs/>
          <w:color w:val="000000"/>
          <w:szCs w:val="24"/>
        </w:rPr>
        <w:tab/>
        <w:t>ARIMA Method of Forecasting</w:t>
      </w:r>
    </w:p>
    <w:p w:rsidR="00AD3554" w:rsidRPr="00DD1539" w:rsidRDefault="00AD3554" w:rsidP="00AD3554">
      <w:pPr>
        <w:autoSpaceDE w:val="0"/>
        <w:autoSpaceDN w:val="0"/>
        <w:adjustRightInd w:val="0"/>
        <w:spacing w:after="0" w:line="240" w:lineRule="auto"/>
        <w:rPr>
          <w:rFonts w:ascii="Times New Roman" w:eastAsiaTheme="minorHAnsi" w:hAnsi="Times New Roman"/>
          <w:b/>
          <w:bCs/>
          <w:color w:val="000000"/>
          <w:szCs w:val="24"/>
        </w:rPr>
      </w:pPr>
      <w:r w:rsidRPr="00DD1539">
        <w:rPr>
          <w:rFonts w:ascii="Times New Roman" w:eastAsiaTheme="minorHAnsi" w:hAnsi="Times New Roman"/>
          <w:b/>
          <w:bCs/>
          <w:color w:val="000000"/>
          <w:szCs w:val="24"/>
        </w:rPr>
        <w:t>Model Summary Chart</w:t>
      </w: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2628900" cy="2162175"/>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a:srcRect/>
                    <a:stretch>
                      <a:fillRect/>
                    </a:stretch>
                  </pic:blipFill>
                  <pic:spPr bwMode="auto">
                    <a:xfrm>
                      <a:off x="0" y="0"/>
                      <a:ext cx="2629481" cy="2162653"/>
                    </a:xfrm>
                    <a:prstGeom prst="rect">
                      <a:avLst/>
                    </a:prstGeom>
                    <a:noFill/>
                    <a:ln w="9525">
                      <a:noFill/>
                      <a:miter lim="800000"/>
                      <a:headEnd/>
                      <a:tailEnd/>
                    </a:ln>
                  </pic:spPr>
                </pic:pic>
              </a:graphicData>
            </a:graphic>
          </wp:inline>
        </w:drawing>
      </w:r>
      <w:r>
        <w:rPr>
          <w:rFonts w:ascii="Times New Roman" w:eastAsiaTheme="minorHAnsi" w:hAnsi="Times New Roman"/>
          <w:noProof/>
          <w:sz w:val="24"/>
          <w:szCs w:val="24"/>
        </w:rPr>
        <w:drawing>
          <wp:inline distT="0" distB="0" distL="0" distR="0">
            <wp:extent cx="2905125" cy="21621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srcRect/>
                    <a:stretch>
                      <a:fillRect/>
                    </a:stretch>
                  </pic:blipFill>
                  <pic:spPr bwMode="auto">
                    <a:xfrm>
                      <a:off x="0" y="0"/>
                      <a:ext cx="2905455" cy="2162421"/>
                    </a:xfrm>
                    <a:prstGeom prst="rect">
                      <a:avLst/>
                    </a:prstGeom>
                    <a:noFill/>
                    <a:ln w="9525">
                      <a:noFill/>
                      <a:miter lim="800000"/>
                      <a:headEnd/>
                      <a:tailEnd/>
                    </a:ln>
                  </pic:spPr>
                </pic:pic>
              </a:graphicData>
            </a:graphic>
          </wp:inline>
        </w:drawing>
      </w:r>
    </w:p>
    <w:p w:rsidR="00CE7E6E" w:rsidRPr="00CE7E6E" w:rsidRDefault="00AD3554"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Fig 5:</w:t>
      </w:r>
      <w:r>
        <w:rPr>
          <w:rFonts w:ascii="Times New Roman" w:eastAsiaTheme="minorHAnsi" w:hAnsi="Times New Roman"/>
          <w:sz w:val="24"/>
          <w:szCs w:val="24"/>
        </w:rPr>
        <w:tab/>
        <w:t>Stationary R-squared Chart</w:t>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t xml:space="preserve">Fig 6: </w:t>
      </w:r>
      <w:r>
        <w:rPr>
          <w:rFonts w:ascii="Times New Roman" w:eastAsiaTheme="minorHAnsi" w:hAnsi="Times New Roman"/>
          <w:sz w:val="24"/>
          <w:szCs w:val="24"/>
        </w:rPr>
        <w:tab/>
        <w:t>Normal R-squared Chart</w:t>
      </w:r>
    </w:p>
    <w:p w:rsidR="00CE7E6E" w:rsidRPr="00CE7E6E" w:rsidRDefault="00CE7E6E" w:rsidP="00CE7E6E">
      <w:pPr>
        <w:autoSpaceDE w:val="0"/>
        <w:autoSpaceDN w:val="0"/>
        <w:adjustRightInd w:val="0"/>
        <w:spacing w:after="0" w:line="400" w:lineRule="atLeast"/>
        <w:rPr>
          <w:rFonts w:ascii="Times New Roman" w:eastAsiaTheme="minorHAnsi" w:hAnsi="Times New Roman"/>
          <w:sz w:val="24"/>
          <w:szCs w:val="24"/>
        </w:rPr>
      </w:pP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3019425" cy="218122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srcRect/>
                    <a:stretch>
                      <a:fillRect/>
                    </a:stretch>
                  </pic:blipFill>
                  <pic:spPr bwMode="auto">
                    <a:xfrm>
                      <a:off x="0" y="0"/>
                      <a:ext cx="3021400" cy="2182652"/>
                    </a:xfrm>
                    <a:prstGeom prst="rect">
                      <a:avLst/>
                    </a:prstGeom>
                    <a:noFill/>
                    <a:ln w="9525">
                      <a:noFill/>
                      <a:miter lim="800000"/>
                      <a:headEnd/>
                      <a:tailEnd/>
                    </a:ln>
                  </pic:spPr>
                </pic:pic>
              </a:graphicData>
            </a:graphic>
          </wp:inline>
        </w:drawing>
      </w:r>
      <w:r>
        <w:rPr>
          <w:rFonts w:ascii="Times New Roman" w:eastAsiaTheme="minorHAnsi" w:hAnsi="Times New Roman"/>
          <w:noProof/>
          <w:sz w:val="24"/>
          <w:szCs w:val="24"/>
        </w:rPr>
        <w:drawing>
          <wp:inline distT="0" distB="0" distL="0" distR="0">
            <wp:extent cx="2790825" cy="2181224"/>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a:srcRect/>
                    <a:stretch>
                      <a:fillRect/>
                    </a:stretch>
                  </pic:blipFill>
                  <pic:spPr bwMode="auto">
                    <a:xfrm>
                      <a:off x="0" y="0"/>
                      <a:ext cx="2791706" cy="2181913"/>
                    </a:xfrm>
                    <a:prstGeom prst="rect">
                      <a:avLst/>
                    </a:prstGeom>
                    <a:noFill/>
                    <a:ln w="9525">
                      <a:noFill/>
                      <a:miter lim="800000"/>
                      <a:headEnd/>
                      <a:tailEnd/>
                    </a:ln>
                  </pic:spPr>
                </pic:pic>
              </a:graphicData>
            </a:graphic>
          </wp:inline>
        </w:drawing>
      </w:r>
    </w:p>
    <w:p w:rsidR="00CE7E6E" w:rsidRPr="00CE7E6E" w:rsidRDefault="00AD3554"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Fig 7:</w:t>
      </w:r>
      <w:r>
        <w:rPr>
          <w:rFonts w:ascii="Times New Roman" w:eastAsiaTheme="minorHAnsi" w:hAnsi="Times New Roman"/>
          <w:sz w:val="24"/>
          <w:szCs w:val="24"/>
        </w:rPr>
        <w:tab/>
        <w:t>RMSE Model Summary Chart</w:t>
      </w:r>
      <w:r>
        <w:rPr>
          <w:rFonts w:ascii="Times New Roman" w:eastAsiaTheme="minorHAnsi" w:hAnsi="Times New Roman"/>
          <w:sz w:val="24"/>
          <w:szCs w:val="24"/>
        </w:rPr>
        <w:tab/>
        <w:t xml:space="preserve">         Fig 8:</w:t>
      </w:r>
      <w:r>
        <w:rPr>
          <w:rFonts w:ascii="Times New Roman" w:eastAsiaTheme="minorHAnsi" w:hAnsi="Times New Roman"/>
          <w:sz w:val="24"/>
          <w:szCs w:val="24"/>
        </w:rPr>
        <w:tab/>
        <w:t>MAPE Model Summary Chart</w:t>
      </w:r>
    </w:p>
    <w:p w:rsidR="00CE7E6E" w:rsidRPr="00CE7E6E" w:rsidRDefault="00CE7E6E" w:rsidP="00CE7E6E">
      <w:pPr>
        <w:autoSpaceDE w:val="0"/>
        <w:autoSpaceDN w:val="0"/>
        <w:adjustRightInd w:val="0"/>
        <w:spacing w:after="0" w:line="400" w:lineRule="atLeast"/>
        <w:rPr>
          <w:rFonts w:ascii="Times New Roman" w:eastAsiaTheme="minorHAnsi" w:hAnsi="Times New Roman"/>
          <w:sz w:val="24"/>
          <w:szCs w:val="24"/>
        </w:rPr>
      </w:pP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3095625" cy="193357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srcRect/>
                    <a:stretch>
                      <a:fillRect/>
                    </a:stretch>
                  </pic:blipFill>
                  <pic:spPr bwMode="auto">
                    <a:xfrm>
                      <a:off x="0" y="0"/>
                      <a:ext cx="3094663" cy="1932974"/>
                    </a:xfrm>
                    <a:prstGeom prst="rect">
                      <a:avLst/>
                    </a:prstGeom>
                    <a:noFill/>
                    <a:ln w="9525">
                      <a:noFill/>
                      <a:miter lim="800000"/>
                      <a:headEnd/>
                      <a:tailEnd/>
                    </a:ln>
                  </pic:spPr>
                </pic:pic>
              </a:graphicData>
            </a:graphic>
          </wp:inline>
        </w:drawing>
      </w:r>
      <w:r>
        <w:rPr>
          <w:rFonts w:ascii="Times New Roman" w:eastAsiaTheme="minorHAnsi" w:hAnsi="Times New Roman"/>
          <w:noProof/>
          <w:sz w:val="24"/>
          <w:szCs w:val="24"/>
        </w:rPr>
        <w:drawing>
          <wp:inline distT="0" distB="0" distL="0" distR="0">
            <wp:extent cx="2619375" cy="1933575"/>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a:srcRect/>
                    <a:stretch>
                      <a:fillRect/>
                    </a:stretch>
                  </pic:blipFill>
                  <pic:spPr bwMode="auto">
                    <a:xfrm>
                      <a:off x="0" y="0"/>
                      <a:ext cx="2618961" cy="1933269"/>
                    </a:xfrm>
                    <a:prstGeom prst="rect">
                      <a:avLst/>
                    </a:prstGeom>
                    <a:noFill/>
                    <a:ln w="9525">
                      <a:noFill/>
                      <a:miter lim="800000"/>
                      <a:headEnd/>
                      <a:tailEnd/>
                    </a:ln>
                  </pic:spPr>
                </pic:pic>
              </a:graphicData>
            </a:graphic>
          </wp:inline>
        </w:drawing>
      </w:r>
    </w:p>
    <w:p w:rsidR="00AD3554" w:rsidRPr="00CE7E6E" w:rsidRDefault="00AD3554" w:rsidP="00AD3554">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Fig 9:</w:t>
      </w:r>
      <w:r>
        <w:rPr>
          <w:rFonts w:ascii="Times New Roman" w:eastAsiaTheme="minorHAnsi" w:hAnsi="Times New Roman"/>
          <w:sz w:val="24"/>
          <w:szCs w:val="24"/>
        </w:rPr>
        <w:tab/>
        <w:t>MAE Model Summary Chart</w:t>
      </w:r>
      <w:r>
        <w:rPr>
          <w:rFonts w:ascii="Times New Roman" w:eastAsiaTheme="minorHAnsi" w:hAnsi="Times New Roman"/>
          <w:sz w:val="24"/>
          <w:szCs w:val="24"/>
        </w:rPr>
        <w:tab/>
        <w:t xml:space="preserve">         Fig 10:</w:t>
      </w:r>
      <w:r>
        <w:rPr>
          <w:rFonts w:ascii="Times New Roman" w:eastAsiaTheme="minorHAnsi" w:hAnsi="Times New Roman"/>
          <w:sz w:val="24"/>
          <w:szCs w:val="24"/>
        </w:rPr>
        <w:tab/>
        <w:t>MaxAPE Model Summary Chart</w:t>
      </w: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p>
    <w:p w:rsidR="00CE7E6E" w:rsidRPr="00CE7E6E" w:rsidRDefault="00CE7E6E" w:rsidP="00CE7E6E">
      <w:pPr>
        <w:autoSpaceDE w:val="0"/>
        <w:autoSpaceDN w:val="0"/>
        <w:adjustRightInd w:val="0"/>
        <w:spacing w:after="0" w:line="400" w:lineRule="atLeast"/>
        <w:rPr>
          <w:rFonts w:ascii="Times New Roman" w:eastAsiaTheme="minorHAnsi" w:hAnsi="Times New Roman"/>
          <w:sz w:val="24"/>
          <w:szCs w:val="24"/>
        </w:rPr>
      </w:pPr>
    </w:p>
    <w:p w:rsidR="00CE7E6E" w:rsidRDefault="00CE7E6E"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lastRenderedPageBreak/>
        <w:drawing>
          <wp:inline distT="0" distB="0" distL="0" distR="0">
            <wp:extent cx="3124200" cy="189547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a:srcRect/>
                    <a:stretch>
                      <a:fillRect/>
                    </a:stretch>
                  </pic:blipFill>
                  <pic:spPr bwMode="auto">
                    <a:xfrm>
                      <a:off x="0" y="0"/>
                      <a:ext cx="3124200" cy="1895475"/>
                    </a:xfrm>
                    <a:prstGeom prst="rect">
                      <a:avLst/>
                    </a:prstGeom>
                    <a:noFill/>
                    <a:ln w="9525">
                      <a:noFill/>
                      <a:miter lim="800000"/>
                      <a:headEnd/>
                      <a:tailEnd/>
                    </a:ln>
                  </pic:spPr>
                </pic:pic>
              </a:graphicData>
            </a:graphic>
          </wp:inline>
        </w:drawing>
      </w:r>
      <w:r>
        <w:rPr>
          <w:rFonts w:ascii="Times New Roman" w:eastAsiaTheme="minorHAnsi" w:hAnsi="Times New Roman"/>
          <w:noProof/>
          <w:sz w:val="24"/>
          <w:szCs w:val="24"/>
        </w:rPr>
        <w:drawing>
          <wp:inline distT="0" distB="0" distL="0" distR="0">
            <wp:extent cx="2771775" cy="1895475"/>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9"/>
                    <a:srcRect/>
                    <a:stretch>
                      <a:fillRect/>
                    </a:stretch>
                  </pic:blipFill>
                  <pic:spPr bwMode="auto">
                    <a:xfrm>
                      <a:off x="0" y="0"/>
                      <a:ext cx="2773587" cy="1896714"/>
                    </a:xfrm>
                    <a:prstGeom prst="rect">
                      <a:avLst/>
                    </a:prstGeom>
                    <a:noFill/>
                    <a:ln w="9525">
                      <a:noFill/>
                      <a:miter lim="800000"/>
                      <a:headEnd/>
                      <a:tailEnd/>
                    </a:ln>
                  </pic:spPr>
                </pic:pic>
              </a:graphicData>
            </a:graphic>
          </wp:inline>
        </w:drawing>
      </w:r>
    </w:p>
    <w:p w:rsidR="00AD3554" w:rsidRPr="00CE7E6E" w:rsidRDefault="00AD3554" w:rsidP="00AD3554">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Fig 11:</w:t>
      </w:r>
      <w:r>
        <w:rPr>
          <w:rFonts w:ascii="Times New Roman" w:eastAsiaTheme="minorHAnsi" w:hAnsi="Times New Roman"/>
          <w:sz w:val="24"/>
          <w:szCs w:val="24"/>
        </w:rPr>
        <w:tab/>
        <w:t>MaxAE Model Summary Chart</w:t>
      </w:r>
      <w:r>
        <w:rPr>
          <w:rFonts w:ascii="Times New Roman" w:eastAsiaTheme="minorHAnsi" w:hAnsi="Times New Roman"/>
          <w:sz w:val="24"/>
          <w:szCs w:val="24"/>
        </w:rPr>
        <w:tab/>
        <w:t xml:space="preserve">         Fig 12:</w:t>
      </w:r>
      <w:r>
        <w:rPr>
          <w:rFonts w:ascii="Times New Roman" w:eastAsiaTheme="minorHAnsi" w:hAnsi="Times New Roman"/>
          <w:sz w:val="24"/>
          <w:szCs w:val="24"/>
        </w:rPr>
        <w:tab/>
        <w:t>Normal BIC Model Summary Chart</w:t>
      </w:r>
    </w:p>
    <w:p w:rsidR="00AD3554" w:rsidRPr="00CE7E6E" w:rsidRDefault="00AD3554" w:rsidP="00CE7E6E">
      <w:pPr>
        <w:autoSpaceDE w:val="0"/>
        <w:autoSpaceDN w:val="0"/>
        <w:adjustRightInd w:val="0"/>
        <w:spacing w:after="0" w:line="240" w:lineRule="auto"/>
        <w:rPr>
          <w:rFonts w:ascii="Times New Roman" w:eastAsiaTheme="minorHAnsi" w:hAnsi="Times New Roman"/>
          <w:sz w:val="24"/>
          <w:szCs w:val="24"/>
        </w:rPr>
      </w:pP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2886075" cy="2400300"/>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srcRect/>
                    <a:stretch>
                      <a:fillRect/>
                    </a:stretch>
                  </pic:blipFill>
                  <pic:spPr bwMode="auto">
                    <a:xfrm>
                      <a:off x="0" y="0"/>
                      <a:ext cx="2888122" cy="2402002"/>
                    </a:xfrm>
                    <a:prstGeom prst="rect">
                      <a:avLst/>
                    </a:prstGeom>
                    <a:noFill/>
                    <a:ln w="9525">
                      <a:noFill/>
                      <a:miter lim="800000"/>
                      <a:headEnd/>
                      <a:tailEnd/>
                    </a:ln>
                  </pic:spPr>
                </pic:pic>
              </a:graphicData>
            </a:graphic>
          </wp:inline>
        </w:drawing>
      </w:r>
      <w:r>
        <w:rPr>
          <w:rFonts w:ascii="Times New Roman" w:eastAsiaTheme="minorHAnsi" w:hAnsi="Times New Roman"/>
          <w:noProof/>
          <w:sz w:val="24"/>
          <w:szCs w:val="24"/>
        </w:rPr>
        <w:drawing>
          <wp:inline distT="0" distB="0" distL="0" distR="0">
            <wp:extent cx="2981325" cy="2400300"/>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srcRect/>
                    <a:stretch>
                      <a:fillRect/>
                    </a:stretch>
                  </pic:blipFill>
                  <pic:spPr bwMode="auto">
                    <a:xfrm>
                      <a:off x="0" y="0"/>
                      <a:ext cx="2979904" cy="2399156"/>
                    </a:xfrm>
                    <a:prstGeom prst="rect">
                      <a:avLst/>
                    </a:prstGeom>
                    <a:noFill/>
                    <a:ln w="9525">
                      <a:noFill/>
                      <a:miter lim="800000"/>
                      <a:headEnd/>
                      <a:tailEnd/>
                    </a:ln>
                  </pic:spPr>
                </pic:pic>
              </a:graphicData>
            </a:graphic>
          </wp:inline>
        </w:drawing>
      </w:r>
    </w:p>
    <w:p w:rsidR="00AD3554" w:rsidRPr="00CE7E6E" w:rsidRDefault="00AD3554" w:rsidP="00AD3554">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Fig 13:</w:t>
      </w:r>
      <w:r>
        <w:rPr>
          <w:rFonts w:ascii="Times New Roman" w:eastAsiaTheme="minorHAnsi" w:hAnsi="Times New Roman"/>
          <w:sz w:val="24"/>
          <w:szCs w:val="24"/>
        </w:rPr>
        <w:tab/>
        <w:t>Residual ACF Model Summary</w:t>
      </w:r>
      <w:r>
        <w:rPr>
          <w:rFonts w:ascii="Times New Roman" w:eastAsiaTheme="minorHAnsi" w:hAnsi="Times New Roman"/>
          <w:sz w:val="24"/>
          <w:szCs w:val="24"/>
        </w:rPr>
        <w:tab/>
      </w:r>
      <w:r w:rsidR="00C178C6">
        <w:rPr>
          <w:rFonts w:ascii="Times New Roman" w:eastAsiaTheme="minorHAnsi" w:hAnsi="Times New Roman"/>
          <w:sz w:val="24"/>
          <w:szCs w:val="24"/>
        </w:rPr>
        <w:t xml:space="preserve">            </w:t>
      </w:r>
      <w:r>
        <w:rPr>
          <w:rFonts w:ascii="Times New Roman" w:eastAsiaTheme="minorHAnsi" w:hAnsi="Times New Roman"/>
          <w:sz w:val="24"/>
          <w:szCs w:val="24"/>
        </w:rPr>
        <w:t>Fig 14:</w:t>
      </w:r>
      <w:r>
        <w:rPr>
          <w:rFonts w:ascii="Times New Roman" w:eastAsiaTheme="minorHAnsi" w:hAnsi="Times New Roman"/>
          <w:sz w:val="24"/>
          <w:szCs w:val="24"/>
        </w:rPr>
        <w:tab/>
        <w:t>Residual PACF Model Summary</w:t>
      </w: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p>
    <w:p w:rsidR="00CE7E6E" w:rsidRPr="00CE7E6E" w:rsidRDefault="00CE7E6E" w:rsidP="00CE7E6E">
      <w:pPr>
        <w:autoSpaceDE w:val="0"/>
        <w:autoSpaceDN w:val="0"/>
        <w:adjustRightInd w:val="0"/>
        <w:spacing w:after="0" w:line="400" w:lineRule="atLeast"/>
        <w:rPr>
          <w:rFonts w:ascii="Times New Roman" w:eastAsiaTheme="minorHAnsi" w:hAnsi="Times New Roman"/>
          <w:sz w:val="24"/>
          <w:szCs w:val="24"/>
        </w:rPr>
      </w:pPr>
    </w:p>
    <w:p w:rsidR="00CE7E6E" w:rsidRPr="00DD1539" w:rsidRDefault="003A6A1A" w:rsidP="00CE7E6E">
      <w:pPr>
        <w:autoSpaceDE w:val="0"/>
        <w:autoSpaceDN w:val="0"/>
        <w:adjustRightInd w:val="0"/>
        <w:spacing w:after="0" w:line="240" w:lineRule="auto"/>
        <w:rPr>
          <w:rFonts w:ascii="Times New Roman" w:eastAsiaTheme="minorHAnsi" w:hAnsi="Times New Roman"/>
          <w:b/>
          <w:bCs/>
          <w:color w:val="000000"/>
        </w:rPr>
      </w:pPr>
      <w:r w:rsidRPr="00DD1539">
        <w:rPr>
          <w:rFonts w:ascii="Times New Roman" w:eastAsiaTheme="minorHAnsi" w:hAnsi="Times New Roman"/>
          <w:b/>
          <w:bCs/>
          <w:color w:val="000000"/>
        </w:rPr>
        <w:t>5.</w:t>
      </w:r>
      <w:r w:rsidRPr="00DD1539">
        <w:rPr>
          <w:rFonts w:ascii="Times New Roman" w:eastAsiaTheme="minorHAnsi" w:hAnsi="Times New Roman"/>
          <w:b/>
          <w:bCs/>
          <w:color w:val="000000"/>
        </w:rPr>
        <w:tab/>
        <w:t xml:space="preserve">ARIMA </w:t>
      </w:r>
      <w:r w:rsidR="00CE7E6E" w:rsidRPr="00DD1539">
        <w:rPr>
          <w:rFonts w:ascii="Times New Roman" w:eastAsiaTheme="minorHAnsi" w:hAnsi="Times New Roman"/>
          <w:b/>
          <w:bCs/>
          <w:color w:val="000000"/>
        </w:rPr>
        <w:t>Model Summary</w:t>
      </w:r>
      <w:r w:rsidRPr="00DD1539">
        <w:rPr>
          <w:rFonts w:ascii="Times New Roman" w:eastAsiaTheme="minorHAnsi" w:hAnsi="Times New Roman"/>
          <w:b/>
          <w:bCs/>
          <w:color w:val="000000"/>
        </w:rPr>
        <w:t xml:space="preserve"> </w:t>
      </w:r>
    </w:p>
    <w:p w:rsidR="003A6A1A" w:rsidRPr="00DD1539" w:rsidRDefault="003A6A1A" w:rsidP="003A6A1A">
      <w:pPr>
        <w:autoSpaceDE w:val="0"/>
        <w:autoSpaceDN w:val="0"/>
        <w:adjustRightInd w:val="0"/>
        <w:spacing w:after="0" w:line="240" w:lineRule="auto"/>
        <w:ind w:left="58" w:right="58"/>
        <w:rPr>
          <w:rFonts w:ascii="Times New Roman" w:eastAsiaTheme="minorHAnsi" w:hAnsi="Times New Roman"/>
          <w:bCs/>
          <w:color w:val="000000"/>
        </w:rPr>
      </w:pPr>
    </w:p>
    <w:p w:rsidR="003A6A1A" w:rsidRPr="00DD1539" w:rsidRDefault="003A6A1A" w:rsidP="003A6A1A">
      <w:pPr>
        <w:autoSpaceDE w:val="0"/>
        <w:autoSpaceDN w:val="0"/>
        <w:adjustRightInd w:val="0"/>
        <w:spacing w:after="0" w:line="240" w:lineRule="auto"/>
        <w:ind w:left="58" w:right="58"/>
        <w:rPr>
          <w:rFonts w:ascii="Times New Roman" w:eastAsiaTheme="minorHAnsi" w:hAnsi="Times New Roman"/>
          <w:color w:val="000000"/>
        </w:rPr>
      </w:pPr>
      <w:r w:rsidRPr="00DD1539">
        <w:rPr>
          <w:rFonts w:ascii="Times New Roman" w:eastAsiaTheme="minorHAnsi" w:hAnsi="Times New Roman"/>
          <w:bCs/>
          <w:color w:val="000000"/>
        </w:rPr>
        <w:t>Table 6:</w:t>
      </w:r>
      <w:r w:rsidRPr="00DD1539">
        <w:rPr>
          <w:rFonts w:ascii="Times New Roman" w:eastAsiaTheme="minorHAnsi" w:hAnsi="Times New Roman"/>
          <w:bCs/>
          <w:color w:val="000000"/>
        </w:rPr>
        <w:tab/>
        <w:t>Model Summary Fit</w:t>
      </w:r>
    </w:p>
    <w:tbl>
      <w:tblPr>
        <w:tblW w:w="891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90"/>
        <w:gridCol w:w="720"/>
        <w:gridCol w:w="450"/>
        <w:gridCol w:w="630"/>
        <w:gridCol w:w="720"/>
        <w:gridCol w:w="720"/>
        <w:gridCol w:w="630"/>
        <w:gridCol w:w="630"/>
        <w:gridCol w:w="630"/>
        <w:gridCol w:w="630"/>
        <w:gridCol w:w="630"/>
        <w:gridCol w:w="630"/>
      </w:tblGrid>
      <w:tr w:rsidR="00CE7E6E" w:rsidRPr="00CE7E6E" w:rsidTr="003A6A1A">
        <w:trPr>
          <w:cantSplit/>
        </w:trPr>
        <w:tc>
          <w:tcPr>
            <w:tcW w:w="1890" w:type="dxa"/>
            <w:vMerge w:val="restart"/>
            <w:tcBorders>
              <w:top w:val="single" w:sz="16" w:space="0" w:color="000000"/>
              <w:left w:val="single" w:sz="16" w:space="0" w:color="000000"/>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Fit Statistic</w:t>
            </w:r>
          </w:p>
        </w:tc>
        <w:tc>
          <w:tcPr>
            <w:tcW w:w="720" w:type="dxa"/>
            <w:vMerge w:val="restart"/>
            <w:tcBorders>
              <w:top w:val="single" w:sz="16" w:space="0" w:color="000000"/>
              <w:lef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Mean</w:t>
            </w:r>
          </w:p>
        </w:tc>
        <w:tc>
          <w:tcPr>
            <w:tcW w:w="450" w:type="dxa"/>
            <w:vMerge w:val="restart"/>
            <w:tcBorders>
              <w:top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SE</w:t>
            </w:r>
          </w:p>
        </w:tc>
        <w:tc>
          <w:tcPr>
            <w:tcW w:w="630" w:type="dxa"/>
            <w:vMerge w:val="restart"/>
            <w:tcBorders>
              <w:top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Minimum</w:t>
            </w:r>
          </w:p>
        </w:tc>
        <w:tc>
          <w:tcPr>
            <w:tcW w:w="720" w:type="dxa"/>
            <w:vMerge w:val="restart"/>
            <w:tcBorders>
              <w:top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Maximum</w:t>
            </w:r>
          </w:p>
        </w:tc>
        <w:tc>
          <w:tcPr>
            <w:tcW w:w="4500" w:type="dxa"/>
            <w:gridSpan w:val="7"/>
            <w:tcBorders>
              <w:top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Percentile</w:t>
            </w:r>
          </w:p>
        </w:tc>
      </w:tr>
      <w:tr w:rsidR="00CE7E6E" w:rsidRPr="00CE7E6E" w:rsidTr="003A6A1A">
        <w:trPr>
          <w:cantSplit/>
        </w:trPr>
        <w:tc>
          <w:tcPr>
            <w:tcW w:w="1890" w:type="dxa"/>
            <w:vMerge/>
            <w:tcBorders>
              <w:top w:val="single" w:sz="16" w:space="0" w:color="000000"/>
              <w:left w:val="single" w:sz="16" w:space="0" w:color="000000"/>
              <w:bottom w:val="nil"/>
              <w:right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720" w:type="dxa"/>
            <w:vMerge/>
            <w:tcBorders>
              <w:top w:val="single" w:sz="16" w:space="0" w:color="000000"/>
              <w:left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450" w:type="dxa"/>
            <w:vMerge/>
            <w:tcBorders>
              <w:top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630" w:type="dxa"/>
            <w:vMerge/>
            <w:tcBorders>
              <w:top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720" w:type="dxa"/>
            <w:vMerge/>
            <w:tcBorders>
              <w:top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72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5</w:t>
            </w:r>
          </w:p>
        </w:tc>
        <w:tc>
          <w:tcPr>
            <w:tcW w:w="63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10</w:t>
            </w:r>
          </w:p>
        </w:tc>
        <w:tc>
          <w:tcPr>
            <w:tcW w:w="63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25</w:t>
            </w:r>
          </w:p>
        </w:tc>
        <w:tc>
          <w:tcPr>
            <w:tcW w:w="63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50</w:t>
            </w:r>
          </w:p>
        </w:tc>
        <w:tc>
          <w:tcPr>
            <w:tcW w:w="63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75</w:t>
            </w:r>
          </w:p>
        </w:tc>
        <w:tc>
          <w:tcPr>
            <w:tcW w:w="63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90</w:t>
            </w:r>
          </w:p>
        </w:tc>
        <w:tc>
          <w:tcPr>
            <w:tcW w:w="630" w:type="dxa"/>
            <w:tcBorders>
              <w:bottom w:val="single" w:sz="16" w:space="0" w:color="000000"/>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95</w:t>
            </w:r>
          </w:p>
        </w:tc>
      </w:tr>
      <w:tr w:rsidR="00CE7E6E" w:rsidRPr="00CE7E6E" w:rsidTr="003A6A1A">
        <w:trPr>
          <w:cantSplit/>
        </w:trPr>
        <w:tc>
          <w:tcPr>
            <w:tcW w:w="1890" w:type="dxa"/>
            <w:tcBorders>
              <w:top w:val="single" w:sz="16" w:space="0" w:color="000000"/>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Stationary R-squared</w:t>
            </w:r>
          </w:p>
        </w:tc>
        <w:tc>
          <w:tcPr>
            <w:tcW w:w="720" w:type="dxa"/>
            <w:tcBorders>
              <w:top w:val="single" w:sz="16" w:space="0" w:color="000000"/>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45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72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72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single" w:sz="16" w:space="0" w:color="000000"/>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r>
      <w:tr w:rsidR="00CE7E6E" w:rsidRPr="00CE7E6E" w:rsidTr="003A6A1A">
        <w:trPr>
          <w:cantSplit/>
        </w:trPr>
        <w:tc>
          <w:tcPr>
            <w:tcW w:w="1890" w:type="dxa"/>
            <w:tcBorders>
              <w:top w:val="nil"/>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R-squared</w:t>
            </w:r>
          </w:p>
        </w:tc>
        <w:tc>
          <w:tcPr>
            <w:tcW w:w="720" w:type="dxa"/>
            <w:tcBorders>
              <w:top w:val="nil"/>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45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630" w:type="dxa"/>
            <w:tcBorders>
              <w:top w:val="nil"/>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r>
      <w:tr w:rsidR="00CE7E6E" w:rsidRPr="00CE7E6E" w:rsidTr="003A6A1A">
        <w:trPr>
          <w:cantSplit/>
        </w:trPr>
        <w:tc>
          <w:tcPr>
            <w:tcW w:w="1890" w:type="dxa"/>
            <w:tcBorders>
              <w:top w:val="nil"/>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RMSE</w:t>
            </w:r>
          </w:p>
        </w:tc>
        <w:tc>
          <w:tcPr>
            <w:tcW w:w="720" w:type="dxa"/>
            <w:tcBorders>
              <w:top w:val="nil"/>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45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630" w:type="dxa"/>
            <w:tcBorders>
              <w:top w:val="nil"/>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r>
      <w:tr w:rsidR="00CE7E6E" w:rsidRPr="00CE7E6E" w:rsidTr="003A6A1A">
        <w:trPr>
          <w:cantSplit/>
        </w:trPr>
        <w:tc>
          <w:tcPr>
            <w:tcW w:w="1890" w:type="dxa"/>
            <w:tcBorders>
              <w:top w:val="nil"/>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MAPE</w:t>
            </w:r>
          </w:p>
        </w:tc>
        <w:tc>
          <w:tcPr>
            <w:tcW w:w="720" w:type="dxa"/>
            <w:tcBorders>
              <w:top w:val="nil"/>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45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630" w:type="dxa"/>
            <w:tcBorders>
              <w:top w:val="nil"/>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r>
      <w:tr w:rsidR="00CE7E6E" w:rsidRPr="00CE7E6E" w:rsidTr="003A6A1A">
        <w:trPr>
          <w:cantSplit/>
        </w:trPr>
        <w:tc>
          <w:tcPr>
            <w:tcW w:w="1890" w:type="dxa"/>
            <w:tcBorders>
              <w:top w:val="nil"/>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MaxAPE</w:t>
            </w:r>
          </w:p>
        </w:tc>
        <w:tc>
          <w:tcPr>
            <w:tcW w:w="720" w:type="dxa"/>
            <w:tcBorders>
              <w:top w:val="nil"/>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45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630" w:type="dxa"/>
            <w:tcBorders>
              <w:top w:val="nil"/>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r>
      <w:tr w:rsidR="00CE7E6E" w:rsidRPr="00CE7E6E" w:rsidTr="003A6A1A">
        <w:trPr>
          <w:cantSplit/>
        </w:trPr>
        <w:tc>
          <w:tcPr>
            <w:tcW w:w="1890" w:type="dxa"/>
            <w:tcBorders>
              <w:top w:val="nil"/>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MAE</w:t>
            </w:r>
          </w:p>
        </w:tc>
        <w:tc>
          <w:tcPr>
            <w:tcW w:w="720" w:type="dxa"/>
            <w:tcBorders>
              <w:top w:val="nil"/>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45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630" w:type="dxa"/>
            <w:tcBorders>
              <w:top w:val="nil"/>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r>
      <w:tr w:rsidR="00CE7E6E" w:rsidRPr="00CE7E6E" w:rsidTr="003A6A1A">
        <w:trPr>
          <w:cantSplit/>
        </w:trPr>
        <w:tc>
          <w:tcPr>
            <w:tcW w:w="1890" w:type="dxa"/>
            <w:tcBorders>
              <w:top w:val="nil"/>
              <w:left w:val="single" w:sz="16" w:space="0" w:color="000000"/>
              <w:bottom w:val="nil"/>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MaxAE</w:t>
            </w:r>
          </w:p>
        </w:tc>
        <w:tc>
          <w:tcPr>
            <w:tcW w:w="720" w:type="dxa"/>
            <w:tcBorders>
              <w:top w:val="nil"/>
              <w:left w:val="single" w:sz="16" w:space="0" w:color="000000"/>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45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72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630" w:type="dxa"/>
            <w:tcBorders>
              <w:top w:val="nil"/>
              <w:bottom w:val="nil"/>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630" w:type="dxa"/>
            <w:tcBorders>
              <w:top w:val="nil"/>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r>
      <w:tr w:rsidR="00CE7E6E" w:rsidRPr="00CE7E6E" w:rsidTr="003A6A1A">
        <w:trPr>
          <w:cantSplit/>
        </w:trPr>
        <w:tc>
          <w:tcPr>
            <w:tcW w:w="1890" w:type="dxa"/>
            <w:tcBorders>
              <w:top w:val="nil"/>
              <w:left w:val="single" w:sz="16" w:space="0" w:color="000000"/>
              <w:bottom w:val="single" w:sz="16" w:space="0" w:color="000000"/>
              <w:right w:val="single" w:sz="16" w:space="0" w:color="000000"/>
            </w:tcBorders>
            <w:shd w:val="clear" w:color="auto" w:fill="FFFFFF"/>
            <w:vAlign w:val="center"/>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Normalized BIC</w:t>
            </w:r>
          </w:p>
        </w:tc>
        <w:tc>
          <w:tcPr>
            <w:tcW w:w="720" w:type="dxa"/>
            <w:tcBorders>
              <w:top w:val="nil"/>
              <w:left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45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63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72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72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63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63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63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63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630" w:type="dxa"/>
            <w:tcBorders>
              <w:top w:val="nil"/>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630" w:type="dxa"/>
            <w:tcBorders>
              <w:top w:val="nil"/>
              <w:bottom w:val="single" w:sz="16" w:space="0" w:color="000000"/>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r>
    </w:tbl>
    <w:p w:rsidR="003A6A1A" w:rsidRDefault="003A6A1A" w:rsidP="00CE7E6E">
      <w:pPr>
        <w:autoSpaceDE w:val="0"/>
        <w:autoSpaceDN w:val="0"/>
        <w:adjustRightInd w:val="0"/>
        <w:spacing w:after="0" w:line="400" w:lineRule="atLeast"/>
        <w:rPr>
          <w:rFonts w:ascii="Times New Roman" w:eastAsiaTheme="minorHAnsi" w:hAnsi="Times New Roman"/>
          <w:sz w:val="24"/>
          <w:szCs w:val="24"/>
        </w:rPr>
      </w:pPr>
    </w:p>
    <w:p w:rsidR="00CE7E6E" w:rsidRPr="003A6A1A" w:rsidRDefault="003A6A1A" w:rsidP="003A6A1A">
      <w:pPr>
        <w:autoSpaceDE w:val="0"/>
        <w:autoSpaceDN w:val="0"/>
        <w:adjustRightInd w:val="0"/>
        <w:spacing w:after="0" w:line="240" w:lineRule="auto"/>
        <w:rPr>
          <w:rFonts w:ascii="Times New Roman" w:eastAsiaTheme="minorHAnsi" w:hAnsi="Times New Roman"/>
          <w:sz w:val="24"/>
          <w:szCs w:val="24"/>
        </w:rPr>
      </w:pPr>
      <w:r w:rsidRPr="003A6A1A">
        <w:rPr>
          <w:rFonts w:ascii="Times New Roman" w:eastAsiaTheme="minorHAnsi" w:hAnsi="Times New Roman"/>
          <w:sz w:val="24"/>
          <w:szCs w:val="24"/>
        </w:rPr>
        <w:lastRenderedPageBreak/>
        <w:t>Table 7:</w:t>
      </w:r>
      <w:r w:rsidRPr="003A6A1A">
        <w:rPr>
          <w:rFonts w:ascii="Times New Roman" w:eastAsiaTheme="minorHAnsi" w:hAnsi="Times New Roman"/>
          <w:sz w:val="24"/>
          <w:szCs w:val="24"/>
        </w:rPr>
        <w:tab/>
      </w:r>
      <w:r w:rsidRPr="003A6A1A">
        <w:rPr>
          <w:rFonts w:ascii="Times New Roman" w:eastAsiaTheme="minorHAnsi" w:hAnsi="Times New Roman"/>
          <w:bCs/>
          <w:color w:val="000000"/>
          <w:sz w:val="24"/>
          <w:szCs w:val="24"/>
        </w:rPr>
        <w:t>Model Statistical Analysis</w:t>
      </w:r>
    </w:p>
    <w:tbl>
      <w:tblPr>
        <w:tblW w:w="11160"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50"/>
        <w:gridCol w:w="990"/>
        <w:gridCol w:w="1016"/>
        <w:gridCol w:w="874"/>
        <w:gridCol w:w="720"/>
        <w:gridCol w:w="720"/>
        <w:gridCol w:w="540"/>
        <w:gridCol w:w="900"/>
        <w:gridCol w:w="810"/>
        <w:gridCol w:w="1080"/>
        <w:gridCol w:w="540"/>
        <w:gridCol w:w="450"/>
        <w:gridCol w:w="450"/>
        <w:gridCol w:w="720"/>
      </w:tblGrid>
      <w:tr w:rsidR="00C72A55" w:rsidRPr="00CE7E6E" w:rsidTr="003A6A1A">
        <w:trPr>
          <w:cantSplit/>
          <w:trHeight w:val="392"/>
        </w:trPr>
        <w:tc>
          <w:tcPr>
            <w:tcW w:w="1350" w:type="dxa"/>
            <w:vMerge w:val="restart"/>
            <w:tcBorders>
              <w:top w:val="single" w:sz="16" w:space="0" w:color="000000"/>
              <w:left w:val="single" w:sz="16" w:space="0" w:color="000000"/>
              <w:bottom w:val="nil"/>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rPr>
                <w:rFonts w:ascii="Arial" w:eastAsiaTheme="minorHAnsi" w:hAnsi="Arial" w:cs="Arial"/>
                <w:color w:val="000000"/>
                <w:sz w:val="18"/>
                <w:szCs w:val="18"/>
              </w:rPr>
            </w:pPr>
            <w:r w:rsidRPr="00CE7E6E">
              <w:rPr>
                <w:rFonts w:ascii="Arial" w:eastAsiaTheme="minorHAnsi" w:hAnsi="Arial" w:cs="Arial"/>
                <w:color w:val="000000"/>
                <w:sz w:val="18"/>
                <w:szCs w:val="18"/>
              </w:rPr>
              <w:t>Model</w:t>
            </w:r>
          </w:p>
        </w:tc>
        <w:tc>
          <w:tcPr>
            <w:tcW w:w="990" w:type="dxa"/>
            <w:vMerge w:val="restart"/>
            <w:tcBorders>
              <w:top w:val="single" w:sz="16" w:space="0" w:color="000000"/>
              <w:lef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Number of Predictors</w:t>
            </w:r>
          </w:p>
        </w:tc>
        <w:tc>
          <w:tcPr>
            <w:tcW w:w="6660" w:type="dxa"/>
            <w:gridSpan w:val="8"/>
            <w:tcBorders>
              <w:top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Model Fit statistics</w:t>
            </w:r>
          </w:p>
        </w:tc>
        <w:tc>
          <w:tcPr>
            <w:tcW w:w="1440" w:type="dxa"/>
            <w:gridSpan w:val="3"/>
            <w:tcBorders>
              <w:top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Ljung-Box Q(18)</w:t>
            </w:r>
          </w:p>
        </w:tc>
        <w:tc>
          <w:tcPr>
            <w:tcW w:w="720" w:type="dxa"/>
            <w:vMerge w:val="restart"/>
            <w:tcBorders>
              <w:top w:val="single" w:sz="16" w:space="0" w:color="000000"/>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Number of Outliers</w:t>
            </w:r>
          </w:p>
        </w:tc>
      </w:tr>
      <w:tr w:rsidR="00C72A55" w:rsidRPr="00CE7E6E" w:rsidTr="003A6A1A">
        <w:trPr>
          <w:cantSplit/>
        </w:trPr>
        <w:tc>
          <w:tcPr>
            <w:tcW w:w="1350" w:type="dxa"/>
            <w:vMerge/>
            <w:tcBorders>
              <w:top w:val="single" w:sz="16" w:space="0" w:color="000000"/>
              <w:left w:val="single" w:sz="16" w:space="0" w:color="000000"/>
              <w:bottom w:val="nil"/>
              <w:right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990" w:type="dxa"/>
            <w:vMerge/>
            <w:tcBorders>
              <w:top w:val="single" w:sz="16" w:space="0" w:color="000000"/>
              <w:left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c>
          <w:tcPr>
            <w:tcW w:w="1016"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Stationary R-squared</w:t>
            </w:r>
          </w:p>
        </w:tc>
        <w:tc>
          <w:tcPr>
            <w:tcW w:w="874"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R-squared</w:t>
            </w:r>
          </w:p>
        </w:tc>
        <w:tc>
          <w:tcPr>
            <w:tcW w:w="72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RMSE</w:t>
            </w:r>
          </w:p>
        </w:tc>
        <w:tc>
          <w:tcPr>
            <w:tcW w:w="72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MAPE</w:t>
            </w:r>
          </w:p>
        </w:tc>
        <w:tc>
          <w:tcPr>
            <w:tcW w:w="54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MAE</w:t>
            </w:r>
          </w:p>
        </w:tc>
        <w:tc>
          <w:tcPr>
            <w:tcW w:w="90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MaxAPE</w:t>
            </w:r>
          </w:p>
        </w:tc>
        <w:tc>
          <w:tcPr>
            <w:tcW w:w="81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MaxAE</w:t>
            </w:r>
          </w:p>
        </w:tc>
        <w:tc>
          <w:tcPr>
            <w:tcW w:w="108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Normalized BIC</w:t>
            </w:r>
          </w:p>
        </w:tc>
        <w:tc>
          <w:tcPr>
            <w:tcW w:w="54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Statistics</w:t>
            </w:r>
          </w:p>
        </w:tc>
        <w:tc>
          <w:tcPr>
            <w:tcW w:w="45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DF</w:t>
            </w:r>
          </w:p>
        </w:tc>
        <w:tc>
          <w:tcPr>
            <w:tcW w:w="450" w:type="dxa"/>
            <w:tcBorders>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center"/>
              <w:rPr>
                <w:rFonts w:ascii="Arial" w:eastAsiaTheme="minorHAnsi" w:hAnsi="Arial" w:cs="Arial"/>
                <w:color w:val="000000"/>
                <w:sz w:val="18"/>
                <w:szCs w:val="18"/>
              </w:rPr>
            </w:pPr>
            <w:r w:rsidRPr="00CE7E6E">
              <w:rPr>
                <w:rFonts w:ascii="Arial" w:eastAsiaTheme="minorHAnsi" w:hAnsi="Arial" w:cs="Arial"/>
                <w:color w:val="000000"/>
                <w:sz w:val="18"/>
                <w:szCs w:val="18"/>
              </w:rPr>
              <w:t>Sig.</w:t>
            </w:r>
          </w:p>
        </w:tc>
        <w:tc>
          <w:tcPr>
            <w:tcW w:w="720" w:type="dxa"/>
            <w:vMerge/>
            <w:tcBorders>
              <w:top w:val="single" w:sz="16" w:space="0" w:color="000000"/>
              <w:right w:val="single" w:sz="16" w:space="0" w:color="000000"/>
            </w:tcBorders>
            <w:shd w:val="clear" w:color="auto" w:fill="FFFFFF"/>
          </w:tcPr>
          <w:p w:rsidR="00CE7E6E" w:rsidRPr="00CE7E6E" w:rsidRDefault="00CE7E6E" w:rsidP="00CE7E6E">
            <w:pPr>
              <w:autoSpaceDE w:val="0"/>
              <w:autoSpaceDN w:val="0"/>
              <w:adjustRightInd w:val="0"/>
              <w:spacing w:after="0" w:line="240" w:lineRule="auto"/>
              <w:rPr>
                <w:rFonts w:ascii="Arial" w:eastAsiaTheme="minorHAnsi" w:hAnsi="Arial" w:cs="Arial"/>
                <w:color w:val="000000"/>
                <w:sz w:val="18"/>
                <w:szCs w:val="18"/>
              </w:rPr>
            </w:pPr>
          </w:p>
        </w:tc>
      </w:tr>
      <w:tr w:rsidR="00C72A55" w:rsidRPr="00CE7E6E" w:rsidTr="003A6A1A">
        <w:trPr>
          <w:cantSplit/>
        </w:trPr>
        <w:tc>
          <w:tcPr>
            <w:tcW w:w="1350"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CE7E6E" w:rsidRPr="00CE7E6E" w:rsidRDefault="00C72A55" w:rsidP="00CE7E6E">
            <w:pPr>
              <w:autoSpaceDE w:val="0"/>
              <w:autoSpaceDN w:val="0"/>
              <w:adjustRightInd w:val="0"/>
              <w:spacing w:after="0" w:line="320" w:lineRule="atLeast"/>
              <w:ind w:left="60" w:right="60"/>
              <w:rPr>
                <w:rFonts w:ascii="Arial" w:eastAsiaTheme="minorHAnsi" w:hAnsi="Arial" w:cs="Arial"/>
                <w:color w:val="000000"/>
                <w:sz w:val="18"/>
                <w:szCs w:val="18"/>
              </w:rPr>
            </w:pPr>
            <w:r>
              <w:rPr>
                <w:rFonts w:ascii="Arial" w:eastAsiaTheme="minorHAnsi" w:hAnsi="Arial" w:cs="Arial"/>
                <w:color w:val="000000"/>
                <w:sz w:val="18"/>
                <w:szCs w:val="18"/>
              </w:rPr>
              <w:t>Output-Model</w:t>
            </w:r>
          </w:p>
        </w:tc>
        <w:tc>
          <w:tcPr>
            <w:tcW w:w="990" w:type="dxa"/>
            <w:tcBorders>
              <w:top w:val="single" w:sz="16" w:space="0" w:color="000000"/>
              <w:left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7</w:t>
            </w:r>
          </w:p>
        </w:tc>
        <w:tc>
          <w:tcPr>
            <w:tcW w:w="1016"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874"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1.000</w:t>
            </w:r>
          </w:p>
        </w:tc>
        <w:tc>
          <w:tcPr>
            <w:tcW w:w="72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1.691</w:t>
            </w:r>
          </w:p>
        </w:tc>
        <w:tc>
          <w:tcPr>
            <w:tcW w:w="72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.023</w:t>
            </w:r>
          </w:p>
        </w:tc>
        <w:tc>
          <w:tcPr>
            <w:tcW w:w="54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.820</w:t>
            </w:r>
          </w:p>
        </w:tc>
        <w:tc>
          <w:tcPr>
            <w:tcW w:w="90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.146</w:t>
            </w:r>
          </w:p>
        </w:tc>
        <w:tc>
          <w:tcPr>
            <w:tcW w:w="81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1.864</w:t>
            </w:r>
          </w:p>
        </w:tc>
        <w:tc>
          <w:tcPr>
            <w:tcW w:w="108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2.707</w:t>
            </w:r>
          </w:p>
        </w:tc>
        <w:tc>
          <w:tcPr>
            <w:tcW w:w="54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45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w:t>
            </w:r>
          </w:p>
        </w:tc>
        <w:tc>
          <w:tcPr>
            <w:tcW w:w="450" w:type="dxa"/>
            <w:tcBorders>
              <w:top w:val="single" w:sz="16" w:space="0" w:color="000000"/>
              <w:bottom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w:t>
            </w:r>
          </w:p>
        </w:tc>
        <w:tc>
          <w:tcPr>
            <w:tcW w:w="720" w:type="dxa"/>
            <w:tcBorders>
              <w:top w:val="single" w:sz="16" w:space="0" w:color="000000"/>
              <w:bottom w:val="single" w:sz="16" w:space="0" w:color="000000"/>
              <w:right w:val="single" w:sz="16" w:space="0" w:color="000000"/>
            </w:tcBorders>
            <w:shd w:val="clear" w:color="auto" w:fill="FFFFFF"/>
          </w:tcPr>
          <w:p w:rsidR="00CE7E6E" w:rsidRPr="00CE7E6E" w:rsidRDefault="00CE7E6E" w:rsidP="00CE7E6E">
            <w:pPr>
              <w:autoSpaceDE w:val="0"/>
              <w:autoSpaceDN w:val="0"/>
              <w:adjustRightInd w:val="0"/>
              <w:spacing w:after="0" w:line="320" w:lineRule="atLeast"/>
              <w:ind w:left="60" w:right="60"/>
              <w:jc w:val="right"/>
              <w:rPr>
                <w:rFonts w:ascii="Arial" w:eastAsiaTheme="minorHAnsi" w:hAnsi="Arial" w:cs="Arial"/>
                <w:color w:val="000000"/>
                <w:sz w:val="18"/>
                <w:szCs w:val="18"/>
              </w:rPr>
            </w:pPr>
            <w:r w:rsidRPr="00CE7E6E">
              <w:rPr>
                <w:rFonts w:ascii="Arial" w:eastAsiaTheme="minorHAnsi" w:hAnsi="Arial" w:cs="Arial"/>
                <w:color w:val="000000"/>
                <w:sz w:val="18"/>
                <w:szCs w:val="18"/>
              </w:rPr>
              <w:t>0</w:t>
            </w:r>
          </w:p>
        </w:tc>
      </w:tr>
    </w:tbl>
    <w:p w:rsidR="00CE7E6E" w:rsidRPr="00CE7E6E" w:rsidRDefault="00CE7E6E" w:rsidP="00CE7E6E">
      <w:pPr>
        <w:autoSpaceDE w:val="0"/>
        <w:autoSpaceDN w:val="0"/>
        <w:adjustRightInd w:val="0"/>
        <w:spacing w:after="0" w:line="400" w:lineRule="atLeast"/>
        <w:rPr>
          <w:rFonts w:ascii="Times New Roman" w:eastAsiaTheme="minorHAnsi" w:hAnsi="Times New Roman"/>
          <w:sz w:val="24"/>
          <w:szCs w:val="24"/>
        </w:rPr>
      </w:pPr>
    </w:p>
    <w:p w:rsidR="00CE7E6E" w:rsidRPr="00CE7E6E" w:rsidRDefault="00CE7E6E"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5276850" cy="268605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a:srcRect/>
                    <a:stretch>
                      <a:fillRect/>
                    </a:stretch>
                  </pic:blipFill>
                  <pic:spPr bwMode="auto">
                    <a:xfrm>
                      <a:off x="0" y="0"/>
                      <a:ext cx="5276147" cy="2685692"/>
                    </a:xfrm>
                    <a:prstGeom prst="rect">
                      <a:avLst/>
                    </a:prstGeom>
                    <a:noFill/>
                    <a:ln w="9525">
                      <a:noFill/>
                      <a:miter lim="800000"/>
                      <a:headEnd/>
                      <a:tailEnd/>
                    </a:ln>
                  </pic:spPr>
                </pic:pic>
              </a:graphicData>
            </a:graphic>
          </wp:inline>
        </w:drawing>
      </w:r>
    </w:p>
    <w:p w:rsidR="00CE7E6E" w:rsidRPr="00CE7E6E" w:rsidRDefault="003A6A1A" w:rsidP="00CE7E6E">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Fig 15:</w:t>
      </w:r>
      <w:r>
        <w:rPr>
          <w:rFonts w:ascii="Times New Roman" w:eastAsiaTheme="minorHAnsi" w:hAnsi="Times New Roman"/>
          <w:sz w:val="24"/>
          <w:szCs w:val="24"/>
        </w:rPr>
        <w:tab/>
        <w:t>Residual Model Summary Chart</w:t>
      </w:r>
    </w:p>
    <w:p w:rsidR="00CE7E6E" w:rsidRPr="00CE7E6E" w:rsidRDefault="00CE7E6E" w:rsidP="00CE7E6E">
      <w:pPr>
        <w:autoSpaceDE w:val="0"/>
        <w:autoSpaceDN w:val="0"/>
        <w:adjustRightInd w:val="0"/>
        <w:spacing w:after="0" w:line="400" w:lineRule="atLeast"/>
        <w:rPr>
          <w:rFonts w:ascii="Times New Roman" w:eastAsiaTheme="minorHAnsi" w:hAnsi="Times New Roman"/>
          <w:sz w:val="24"/>
          <w:szCs w:val="24"/>
        </w:rPr>
      </w:pPr>
    </w:p>
    <w:p w:rsidR="00CE7E6E" w:rsidRPr="00CE7E6E" w:rsidRDefault="00CE7E6E" w:rsidP="003A6A1A">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5937885" cy="2597150"/>
            <wp:effectExtent l="1905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a:srcRect/>
                    <a:stretch>
                      <a:fillRect/>
                    </a:stretch>
                  </pic:blipFill>
                  <pic:spPr bwMode="auto">
                    <a:xfrm>
                      <a:off x="0" y="0"/>
                      <a:ext cx="5937885" cy="2597150"/>
                    </a:xfrm>
                    <a:prstGeom prst="rect">
                      <a:avLst/>
                    </a:prstGeom>
                    <a:noFill/>
                    <a:ln w="9525">
                      <a:noFill/>
                      <a:miter lim="800000"/>
                      <a:headEnd/>
                      <a:tailEnd/>
                    </a:ln>
                  </pic:spPr>
                </pic:pic>
              </a:graphicData>
            </a:graphic>
          </wp:inline>
        </w:drawing>
      </w:r>
    </w:p>
    <w:p w:rsidR="00CE7E6E" w:rsidRPr="00DD1539" w:rsidRDefault="003A6A1A" w:rsidP="003A6A1A">
      <w:pPr>
        <w:autoSpaceDE w:val="0"/>
        <w:autoSpaceDN w:val="0"/>
        <w:adjustRightInd w:val="0"/>
        <w:spacing w:after="0" w:line="240" w:lineRule="auto"/>
        <w:rPr>
          <w:rFonts w:ascii="Times New Roman" w:eastAsiaTheme="minorHAnsi" w:hAnsi="Times New Roman"/>
        </w:rPr>
      </w:pPr>
      <w:r w:rsidRPr="00DD1539">
        <w:rPr>
          <w:rFonts w:ascii="Times New Roman" w:eastAsiaTheme="minorHAnsi" w:hAnsi="Times New Roman"/>
        </w:rPr>
        <w:t>Fig 16:</w:t>
      </w:r>
      <w:r w:rsidRPr="00DD1539">
        <w:rPr>
          <w:rFonts w:ascii="Times New Roman" w:eastAsiaTheme="minorHAnsi" w:hAnsi="Times New Roman"/>
        </w:rPr>
        <w:tab/>
        <w:t>Output Model Summary Chart</w:t>
      </w:r>
    </w:p>
    <w:p w:rsidR="003A6A1A" w:rsidRPr="00DD1539" w:rsidRDefault="003A6A1A" w:rsidP="00CE7E6E">
      <w:pPr>
        <w:autoSpaceDE w:val="0"/>
        <w:autoSpaceDN w:val="0"/>
        <w:adjustRightInd w:val="0"/>
        <w:spacing w:after="0" w:line="240" w:lineRule="auto"/>
        <w:rPr>
          <w:rFonts w:ascii="Times New Roman" w:eastAsiaTheme="minorHAnsi" w:hAnsi="Times New Roman"/>
        </w:rPr>
      </w:pPr>
    </w:p>
    <w:p w:rsidR="00CE7E6E" w:rsidRPr="00DD1539" w:rsidRDefault="00030E9A" w:rsidP="0097372C">
      <w:pPr>
        <w:autoSpaceDE w:val="0"/>
        <w:autoSpaceDN w:val="0"/>
        <w:adjustRightInd w:val="0"/>
        <w:spacing w:after="0" w:line="360" w:lineRule="auto"/>
        <w:jc w:val="both"/>
        <w:rPr>
          <w:rFonts w:ascii="Times New Roman" w:eastAsiaTheme="minorHAnsi" w:hAnsi="Times New Roman"/>
          <w:b/>
        </w:rPr>
      </w:pPr>
      <w:r w:rsidRPr="00DD1539">
        <w:rPr>
          <w:rFonts w:ascii="Times New Roman" w:eastAsiaTheme="minorHAnsi" w:hAnsi="Times New Roman"/>
          <w:b/>
        </w:rPr>
        <w:t>Discussion</w:t>
      </w:r>
    </w:p>
    <w:p w:rsidR="00230E30" w:rsidRPr="00DD1539" w:rsidRDefault="00230E30" w:rsidP="0097372C">
      <w:pPr>
        <w:spacing w:after="0" w:line="360" w:lineRule="auto"/>
        <w:jc w:val="both"/>
        <w:rPr>
          <w:rFonts w:ascii="Times New Roman" w:eastAsia="Times New Roman" w:hAnsi="Times New Roman"/>
        </w:rPr>
      </w:pPr>
      <w:r w:rsidRPr="00DD1539">
        <w:rPr>
          <w:rFonts w:ascii="Times New Roman" w:eastAsiaTheme="minorHAnsi" w:hAnsi="Times New Roman"/>
        </w:rPr>
        <w:t xml:space="preserve">The results discuss are based on the charts, tables and the figures developed in this research. The literature review shows a concrete reason for embarking on the research. The methods applied are the application of </w:t>
      </w:r>
      <w:r w:rsidRPr="00DD1539">
        <w:rPr>
          <w:rFonts w:ascii="Times New Roman" w:eastAsiaTheme="minorHAnsi" w:hAnsi="Times New Roman"/>
        </w:rPr>
        <w:lastRenderedPageBreak/>
        <w:t>both multiple input forecasting models and time series forecasting models. The time series forecasting models applied are</w:t>
      </w:r>
      <w:r w:rsidRPr="00DD1539">
        <w:rPr>
          <w:rFonts w:ascii="Times New Roman" w:eastAsia="Times New Roman" w:hAnsi="Times New Roman"/>
        </w:rPr>
        <w:t xml:space="preserve"> time series decomposition analysis and winter’s forecasting methods. Time series decomposition analysis and winter’s forecasting methods used show that the appropriate quantity of the product that is necessary to be produced in January 2019 is </w:t>
      </w:r>
      <w:r w:rsidRPr="00DD1539">
        <w:rPr>
          <w:rFonts w:ascii="Times New Roman" w:eastAsiaTheme="minorHAnsi" w:hAnsi="Times New Roman"/>
        </w:rPr>
        <w:t>9416.11 and 10521.2units respectively.</w:t>
      </w:r>
      <w:r w:rsidRPr="00DD1539">
        <w:rPr>
          <w:rFonts w:ascii="Times New Roman" w:eastAsia="Times New Roman" w:hAnsi="Times New Roman"/>
        </w:rPr>
        <w:t xml:space="preserve"> </w:t>
      </w:r>
    </w:p>
    <w:p w:rsidR="00E112B4" w:rsidRPr="00DD1539" w:rsidRDefault="00230E30" w:rsidP="0097372C">
      <w:pPr>
        <w:spacing w:after="0" w:line="360" w:lineRule="auto"/>
        <w:jc w:val="both"/>
        <w:rPr>
          <w:rFonts w:ascii="Times New Roman" w:eastAsia="Times New Roman" w:hAnsi="Times New Roman"/>
        </w:rPr>
      </w:pPr>
      <w:r w:rsidRPr="00DD1539">
        <w:rPr>
          <w:rFonts w:ascii="Times New Roman" w:eastAsia="Times New Roman" w:hAnsi="Times New Roman"/>
        </w:rPr>
        <w:t xml:space="preserve">Furthermore, the multiple </w:t>
      </w:r>
      <w:r w:rsidR="00BF055F" w:rsidRPr="00DD1539">
        <w:rPr>
          <w:rFonts w:ascii="Times New Roman" w:eastAsia="Times New Roman" w:hAnsi="Times New Roman"/>
        </w:rPr>
        <w:t>inputs</w:t>
      </w:r>
      <w:r w:rsidRPr="00DD1539">
        <w:rPr>
          <w:rFonts w:ascii="Times New Roman" w:eastAsia="Times New Roman" w:hAnsi="Times New Roman"/>
        </w:rPr>
        <w:t xml:space="preserve"> forecasting models applied are ARIMA and </w:t>
      </w:r>
      <w:r w:rsidR="00BF055F" w:rsidRPr="00DD1539">
        <w:rPr>
          <w:rFonts w:ascii="Times New Roman" w:eastAsia="Times New Roman" w:hAnsi="Times New Roman"/>
        </w:rPr>
        <w:t>g</w:t>
      </w:r>
      <w:r w:rsidRPr="00DD1539">
        <w:rPr>
          <w:rFonts w:ascii="Times New Roman" w:eastAsia="Times New Roman" w:hAnsi="Times New Roman"/>
        </w:rPr>
        <w:t>eneral multiple regression models to observe the effect of multiple</w:t>
      </w:r>
      <w:r w:rsidR="00E112B4" w:rsidRPr="00DD1539">
        <w:rPr>
          <w:rFonts w:ascii="Times New Roman" w:eastAsia="Times New Roman" w:hAnsi="Times New Roman"/>
        </w:rPr>
        <w:t xml:space="preserve"> input variables in forecasting the product. The models show that the input variables have one hundred percent coefficient of determination (that is the R-sq=100%) </w:t>
      </w:r>
      <w:r w:rsidR="00BF055F" w:rsidRPr="00DD1539">
        <w:rPr>
          <w:rFonts w:ascii="Times New Roman" w:eastAsia="Times New Roman" w:hAnsi="Times New Roman"/>
        </w:rPr>
        <w:t xml:space="preserve">of </w:t>
      </w:r>
      <w:r w:rsidR="00E112B4" w:rsidRPr="00DD1539">
        <w:rPr>
          <w:rFonts w:ascii="Times New Roman" w:eastAsia="Times New Roman" w:hAnsi="Times New Roman"/>
        </w:rPr>
        <w:t xml:space="preserve">the output variable. This shows that the input data is fit to predict the output variable.  </w:t>
      </w:r>
      <w:r w:rsidR="00BF055F" w:rsidRPr="00DD1539">
        <w:rPr>
          <w:rFonts w:ascii="Times New Roman" w:eastAsia="Times New Roman" w:hAnsi="Times New Roman"/>
        </w:rPr>
        <w:t xml:space="preserve">The multiple input forecasting methods also show that the models developed are not significance </w:t>
      </w:r>
      <w:r w:rsidR="00AD320A" w:rsidRPr="00DD1539">
        <w:rPr>
          <w:rFonts w:ascii="Times New Roman" w:eastAsia="Times New Roman" w:hAnsi="Times New Roman"/>
        </w:rPr>
        <w:t>even though</w:t>
      </w:r>
      <w:r w:rsidR="00BF055F" w:rsidRPr="00DD1539">
        <w:rPr>
          <w:rFonts w:ascii="Times New Roman" w:eastAsia="Times New Roman" w:hAnsi="Times New Roman"/>
        </w:rPr>
        <w:t xml:space="preserve"> there is a good relationship of the determinant of the variables. It also revealed that the adjusted and the predicted coefficient of determination of the variables were not possible due to the fact that there is no significance value of the variables to the model.</w:t>
      </w:r>
      <w:r w:rsidR="00AD320A" w:rsidRPr="00DD1539">
        <w:rPr>
          <w:rFonts w:ascii="Times New Roman" w:eastAsia="Times New Roman" w:hAnsi="Times New Roman"/>
        </w:rPr>
        <w:t xml:space="preserve"> Therefore, time series are considered as an alternative model for the forecast.</w:t>
      </w:r>
    </w:p>
    <w:p w:rsidR="00230E30" w:rsidRPr="00DD1539" w:rsidRDefault="00230E30" w:rsidP="0097372C">
      <w:pPr>
        <w:spacing w:after="0" w:line="360" w:lineRule="auto"/>
        <w:jc w:val="both"/>
        <w:rPr>
          <w:rFonts w:ascii="Times New Roman" w:eastAsia="Times New Roman" w:hAnsi="Times New Roman"/>
        </w:rPr>
      </w:pPr>
      <w:r w:rsidRPr="00DD1539">
        <w:rPr>
          <w:rFonts w:ascii="Times New Roman" w:eastAsia="Times New Roman" w:hAnsi="Times New Roman"/>
        </w:rPr>
        <w:t xml:space="preserve">However, the seasonal analysis expressed that the seasonal index is high at the month of </w:t>
      </w:r>
      <w:r w:rsidR="00BF055F" w:rsidRPr="00DD1539">
        <w:rPr>
          <w:rFonts w:ascii="Times New Roman" w:eastAsia="Times New Roman" w:hAnsi="Times New Roman"/>
        </w:rPr>
        <w:t>January and July, while very low in</w:t>
      </w:r>
      <w:r w:rsidRPr="00DD1539">
        <w:rPr>
          <w:rFonts w:ascii="Times New Roman" w:eastAsia="Times New Roman" w:hAnsi="Times New Roman"/>
        </w:rPr>
        <w:t xml:space="preserve"> the month of </w:t>
      </w:r>
      <w:r w:rsidR="00BF055F" w:rsidRPr="00DD1539">
        <w:rPr>
          <w:rFonts w:ascii="Times New Roman" w:eastAsia="Times New Roman" w:hAnsi="Times New Roman"/>
        </w:rPr>
        <w:t>February and August</w:t>
      </w:r>
      <w:r w:rsidRPr="00DD1539">
        <w:rPr>
          <w:rFonts w:ascii="Times New Roman" w:eastAsia="Times New Roman" w:hAnsi="Times New Roman"/>
        </w:rPr>
        <w:t xml:space="preserve">. </w:t>
      </w:r>
      <w:r w:rsidR="00AD320A" w:rsidRPr="00DD1539">
        <w:rPr>
          <w:rFonts w:ascii="Times New Roman" w:eastAsia="Times New Roman" w:hAnsi="Times New Roman"/>
        </w:rPr>
        <w:t>This shows a good comparative of results when compared with several models to understand the essence of model approximations and to always have a better solution of the result.</w:t>
      </w:r>
    </w:p>
    <w:p w:rsidR="00174BD8" w:rsidRPr="00DD1539" w:rsidRDefault="00174BD8" w:rsidP="00DD1539">
      <w:pPr>
        <w:spacing w:after="0" w:line="240" w:lineRule="auto"/>
        <w:jc w:val="both"/>
        <w:rPr>
          <w:rFonts w:ascii="Times New Roman" w:hAnsi="Times New Roman"/>
        </w:rPr>
      </w:pPr>
    </w:p>
    <w:p w:rsidR="00CE7E6E" w:rsidRPr="00DD1539" w:rsidRDefault="00030E9A" w:rsidP="0097372C">
      <w:pPr>
        <w:spacing w:after="0" w:line="360" w:lineRule="auto"/>
        <w:jc w:val="both"/>
        <w:rPr>
          <w:rFonts w:ascii="Times New Roman" w:hAnsi="Times New Roman"/>
          <w:b/>
        </w:rPr>
      </w:pPr>
      <w:r w:rsidRPr="00DD1539">
        <w:rPr>
          <w:rFonts w:ascii="Times New Roman" w:hAnsi="Times New Roman"/>
          <w:b/>
        </w:rPr>
        <w:t>Conclusion</w:t>
      </w:r>
    </w:p>
    <w:p w:rsidR="00D76234" w:rsidRDefault="009A58D1" w:rsidP="00536889">
      <w:pPr>
        <w:spacing w:after="0" w:line="360" w:lineRule="auto"/>
        <w:jc w:val="both"/>
        <w:rPr>
          <w:rFonts w:ascii="Times New Roman" w:eastAsia="Times New Roman" w:hAnsi="Times New Roman"/>
        </w:rPr>
      </w:pPr>
      <w:r w:rsidRPr="00DD1539">
        <w:rPr>
          <w:rFonts w:ascii="Times New Roman" w:eastAsia="Times New Roman" w:hAnsi="Times New Roman"/>
        </w:rPr>
        <w:t xml:space="preserve">Having compared and analyze the application of forecasting techniques in plastic extrusion production variables, it was made clear the there is always a need to apply more than one methods in solving a problem for this will help to achieve a better result to a problem. The result will help the production manager in achieving </w:t>
      </w:r>
      <w:r w:rsidR="00F4493A" w:rsidRPr="00DD1539">
        <w:rPr>
          <w:rFonts w:ascii="Times New Roman" w:eastAsia="Times New Roman" w:hAnsi="Times New Roman"/>
        </w:rPr>
        <w:t>preferable and more appropriate solutions</w:t>
      </w:r>
      <w:r w:rsidRPr="00DD1539">
        <w:rPr>
          <w:rFonts w:ascii="Times New Roman" w:eastAsia="Times New Roman" w:hAnsi="Times New Roman"/>
        </w:rPr>
        <w:t xml:space="preserve"> to the production variables in the industry.</w:t>
      </w:r>
      <w:r w:rsidR="00D76234" w:rsidRPr="00DD1539">
        <w:rPr>
          <w:rFonts w:ascii="Times New Roman" w:eastAsia="Times New Roman" w:hAnsi="Times New Roman"/>
        </w:rPr>
        <w:t xml:space="preserve"> The results show</w:t>
      </w:r>
      <w:r w:rsidRPr="00DD1539">
        <w:rPr>
          <w:rFonts w:ascii="Times New Roman" w:eastAsia="Times New Roman" w:hAnsi="Times New Roman"/>
        </w:rPr>
        <w:t>ed</w:t>
      </w:r>
      <w:r w:rsidR="00D76234" w:rsidRPr="00DD1539">
        <w:rPr>
          <w:rFonts w:ascii="Times New Roman" w:eastAsia="Times New Roman" w:hAnsi="Times New Roman"/>
        </w:rPr>
        <w:t xml:space="preserve"> that the industry should be conscious of </w:t>
      </w:r>
      <w:r w:rsidR="00F4493A" w:rsidRPr="00DD1539">
        <w:rPr>
          <w:rFonts w:ascii="Times New Roman" w:eastAsia="Times New Roman" w:hAnsi="Times New Roman"/>
        </w:rPr>
        <w:t>their production</w:t>
      </w:r>
      <w:r w:rsidR="00D76234" w:rsidRPr="00DD1539">
        <w:rPr>
          <w:rFonts w:ascii="Times New Roman" w:eastAsia="Times New Roman" w:hAnsi="Times New Roman"/>
        </w:rPr>
        <w:t xml:space="preserve"> variables and</w:t>
      </w:r>
      <w:r w:rsidR="00F4493A" w:rsidRPr="00DD1539">
        <w:rPr>
          <w:rFonts w:ascii="Times New Roman" w:eastAsia="Times New Roman" w:hAnsi="Times New Roman"/>
        </w:rPr>
        <w:t xml:space="preserve"> its</w:t>
      </w:r>
      <w:r w:rsidR="00D76234" w:rsidRPr="00DD1539">
        <w:rPr>
          <w:rFonts w:ascii="Times New Roman" w:eastAsia="Times New Roman" w:hAnsi="Times New Roman"/>
        </w:rPr>
        <w:t xml:space="preserve"> </w:t>
      </w:r>
      <w:r w:rsidR="00F4493A" w:rsidRPr="00DD1539">
        <w:rPr>
          <w:rFonts w:ascii="Times New Roman" w:eastAsia="Times New Roman" w:hAnsi="Times New Roman"/>
        </w:rPr>
        <w:t>seasonal effects i</w:t>
      </w:r>
      <w:r w:rsidR="00D76234" w:rsidRPr="00DD1539">
        <w:rPr>
          <w:rFonts w:ascii="Times New Roman" w:eastAsia="Times New Roman" w:hAnsi="Times New Roman"/>
        </w:rPr>
        <w:t>n production</w:t>
      </w:r>
      <w:r w:rsidR="00F4493A" w:rsidRPr="00DD1539">
        <w:rPr>
          <w:rFonts w:ascii="Times New Roman" w:eastAsia="Times New Roman" w:hAnsi="Times New Roman"/>
        </w:rPr>
        <w:t>.</w:t>
      </w:r>
    </w:p>
    <w:p w:rsidR="00DD1539" w:rsidRDefault="00DD1539" w:rsidP="00536889">
      <w:pPr>
        <w:spacing w:after="0" w:line="360" w:lineRule="auto"/>
        <w:jc w:val="both"/>
        <w:rPr>
          <w:rFonts w:ascii="Times New Roman" w:eastAsia="Times New Roman" w:hAnsi="Times New Roman"/>
        </w:rPr>
      </w:pPr>
    </w:p>
    <w:p w:rsidR="00DD1539" w:rsidRDefault="00DD1539" w:rsidP="00536889">
      <w:pPr>
        <w:spacing w:after="0" w:line="360" w:lineRule="auto"/>
        <w:jc w:val="both"/>
        <w:rPr>
          <w:rFonts w:ascii="Times New Roman" w:eastAsia="Times New Roman" w:hAnsi="Times New Roman"/>
        </w:rPr>
      </w:pPr>
    </w:p>
    <w:p w:rsidR="00DD1539" w:rsidRDefault="00DD1539" w:rsidP="00536889">
      <w:pPr>
        <w:spacing w:after="0" w:line="360" w:lineRule="auto"/>
        <w:jc w:val="both"/>
        <w:rPr>
          <w:rFonts w:ascii="Times New Roman" w:eastAsia="Times New Roman" w:hAnsi="Times New Roman"/>
        </w:rPr>
      </w:pPr>
    </w:p>
    <w:p w:rsidR="00DD1539" w:rsidRDefault="00DD1539" w:rsidP="00536889">
      <w:pPr>
        <w:spacing w:after="0" w:line="360" w:lineRule="auto"/>
        <w:jc w:val="both"/>
        <w:rPr>
          <w:rFonts w:ascii="Times New Roman" w:eastAsia="Times New Roman" w:hAnsi="Times New Roman"/>
        </w:rPr>
      </w:pPr>
    </w:p>
    <w:p w:rsidR="00DD1539" w:rsidRDefault="00DD1539" w:rsidP="00536889">
      <w:pPr>
        <w:spacing w:after="0" w:line="360" w:lineRule="auto"/>
        <w:jc w:val="both"/>
        <w:rPr>
          <w:rFonts w:ascii="Times New Roman" w:eastAsia="Times New Roman" w:hAnsi="Times New Roman"/>
        </w:rPr>
      </w:pPr>
    </w:p>
    <w:p w:rsidR="00DD1539" w:rsidRDefault="00DD1539" w:rsidP="00536889">
      <w:pPr>
        <w:spacing w:after="0" w:line="360" w:lineRule="auto"/>
        <w:jc w:val="both"/>
        <w:rPr>
          <w:rFonts w:ascii="Times New Roman" w:eastAsia="Times New Roman" w:hAnsi="Times New Roman"/>
        </w:rPr>
      </w:pPr>
    </w:p>
    <w:p w:rsidR="00DD1539" w:rsidRPr="00DD1539" w:rsidRDefault="00DD1539" w:rsidP="00536889">
      <w:pPr>
        <w:spacing w:after="0" w:line="360" w:lineRule="auto"/>
        <w:jc w:val="both"/>
        <w:rPr>
          <w:rFonts w:ascii="Times New Roman" w:hAnsi="Times New Roman"/>
        </w:rPr>
      </w:pPr>
    </w:p>
    <w:p w:rsidR="0097372C" w:rsidRPr="00DD1539" w:rsidRDefault="0097372C" w:rsidP="00536889">
      <w:pPr>
        <w:pStyle w:val="Heading2"/>
        <w:spacing w:after="0" w:line="360" w:lineRule="auto"/>
        <w:jc w:val="both"/>
        <w:rPr>
          <w:sz w:val="23"/>
          <w:szCs w:val="23"/>
        </w:rPr>
      </w:pPr>
      <w:r w:rsidRPr="00DD1539">
        <w:rPr>
          <w:rStyle w:val="mw-headline"/>
          <w:sz w:val="23"/>
          <w:szCs w:val="23"/>
        </w:rPr>
        <w:lastRenderedPageBreak/>
        <w:t>References</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Scott Armstrong, Fred Collopy, Andreas Graefe and Kesten C. Green. </w:t>
      </w:r>
      <w:hyperlink r:id="rId74" w:history="1">
        <w:r w:rsidRPr="00DD1539">
          <w:rPr>
            <w:rStyle w:val="Hyperlink"/>
            <w:rFonts w:ascii="Times New Roman" w:hAnsi="Times New Roman"/>
            <w:color w:val="auto"/>
            <w:sz w:val="23"/>
            <w:szCs w:val="23"/>
            <w:u w:val="none"/>
          </w:rPr>
          <w:t>"Answers to Frequently Asked Questions"</w:t>
        </w:r>
      </w:hyperlink>
      <w:r w:rsidRPr="00DD1539">
        <w:rPr>
          <w:rStyle w:val="reference-accessdate"/>
          <w:rFonts w:ascii="Times New Roman" w:hAnsi="Times New Roman"/>
          <w:sz w:val="23"/>
          <w:szCs w:val="23"/>
        </w:rPr>
        <w:t>. Retrieved May 15, 2013</w:t>
      </w:r>
      <w:r w:rsidRPr="00DD1539">
        <w:rPr>
          <w:rStyle w:val="citation"/>
          <w:rFonts w:ascii="Times New Roman" w:hAnsi="Times New Roman"/>
          <w:sz w:val="23"/>
          <w:szCs w:val="23"/>
        </w:rPr>
        <w:t>.</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Nahmias, Steven (2009). </w:t>
      </w:r>
      <w:r w:rsidRPr="00DD1539">
        <w:rPr>
          <w:rStyle w:val="citation"/>
          <w:rFonts w:ascii="Times New Roman" w:hAnsi="Times New Roman"/>
          <w:iCs/>
          <w:sz w:val="23"/>
          <w:szCs w:val="23"/>
        </w:rPr>
        <w:t>Production and Operations Analysis</w:t>
      </w:r>
      <w:r w:rsidRPr="00DD1539">
        <w:rPr>
          <w:rStyle w:val="citation"/>
          <w:rFonts w:ascii="Times New Roman" w:hAnsi="Times New Roman"/>
          <w:sz w:val="23"/>
          <w:szCs w:val="23"/>
        </w:rPr>
        <w:t>.</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Ellis, Kimberly (2008). </w:t>
      </w:r>
      <w:r w:rsidRPr="00DD1539">
        <w:rPr>
          <w:rStyle w:val="citation"/>
          <w:rFonts w:ascii="Times New Roman" w:hAnsi="Times New Roman"/>
          <w:iCs/>
          <w:sz w:val="23"/>
          <w:szCs w:val="23"/>
        </w:rPr>
        <w:t>Production Planning and Inventory Control Virginia Tech</w:t>
      </w:r>
      <w:r w:rsidRPr="00DD1539">
        <w:rPr>
          <w:rStyle w:val="citation"/>
          <w:rFonts w:ascii="Times New Roman" w:hAnsi="Times New Roman"/>
          <w:sz w:val="23"/>
          <w:szCs w:val="23"/>
        </w:rPr>
        <w:t xml:space="preserve">. McGraw Hill. </w:t>
      </w:r>
      <w:hyperlink r:id="rId75" w:tooltip="International Standard Book Number" w:history="1">
        <w:r w:rsidRPr="00DD1539">
          <w:rPr>
            <w:rStyle w:val="Hyperlink"/>
            <w:rFonts w:ascii="Times New Roman" w:hAnsi="Times New Roman"/>
            <w:color w:val="auto"/>
            <w:sz w:val="23"/>
            <w:szCs w:val="23"/>
            <w:u w:val="none"/>
          </w:rPr>
          <w:t>ISBN</w:t>
        </w:r>
      </w:hyperlink>
      <w:r w:rsidRPr="00DD1539">
        <w:rPr>
          <w:rStyle w:val="citation"/>
          <w:rFonts w:ascii="Times New Roman" w:hAnsi="Times New Roman"/>
          <w:sz w:val="23"/>
          <w:szCs w:val="23"/>
        </w:rPr>
        <w:t> </w:t>
      </w:r>
      <w:hyperlink r:id="rId76" w:tooltip="Special:BookSources/978-0-390-87106-0" w:history="1">
        <w:r w:rsidRPr="00DD1539">
          <w:rPr>
            <w:rStyle w:val="Hyperlink"/>
            <w:rFonts w:ascii="Times New Roman" w:hAnsi="Times New Roman"/>
            <w:color w:val="auto"/>
            <w:sz w:val="23"/>
            <w:szCs w:val="23"/>
            <w:u w:val="none"/>
          </w:rPr>
          <w:t>978-0-390-87106-0</w:t>
        </w:r>
      </w:hyperlink>
      <w:r w:rsidRPr="00DD1539">
        <w:rPr>
          <w:rStyle w:val="citation"/>
          <w:rFonts w:ascii="Times New Roman" w:hAnsi="Times New Roman"/>
          <w:sz w:val="23"/>
          <w:szCs w:val="23"/>
        </w:rPr>
        <w:t>.</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J. Scott Armstrong and Fred Collopy (1992). </w:t>
      </w:r>
      <w:hyperlink r:id="rId77" w:history="1">
        <w:r w:rsidRPr="00DD1539">
          <w:rPr>
            <w:rStyle w:val="Hyperlink"/>
            <w:rFonts w:ascii="Times New Roman" w:hAnsi="Times New Roman"/>
            <w:color w:val="auto"/>
            <w:sz w:val="23"/>
            <w:szCs w:val="23"/>
            <w:u w:val="none"/>
          </w:rPr>
          <w:t>"Error Measures For Generalizing About Forecasting Methods: Empirical Comparisons"</w:t>
        </w:r>
      </w:hyperlink>
      <w:r w:rsidRPr="00DD1539">
        <w:rPr>
          <w:rStyle w:val="citation"/>
          <w:rFonts w:ascii="Times New Roman" w:hAnsi="Times New Roman"/>
          <w:sz w:val="23"/>
          <w:szCs w:val="23"/>
        </w:rPr>
        <w:t xml:space="preserve">. </w:t>
      </w:r>
      <w:r w:rsidRPr="00DD1539">
        <w:rPr>
          <w:rStyle w:val="citation"/>
          <w:rFonts w:ascii="Times New Roman" w:hAnsi="Times New Roman"/>
          <w:iCs/>
          <w:sz w:val="23"/>
          <w:szCs w:val="23"/>
        </w:rPr>
        <w:t>International Journal of Forecasting</w:t>
      </w:r>
      <w:r w:rsidRPr="00DD1539">
        <w:rPr>
          <w:rStyle w:val="citation"/>
          <w:rFonts w:ascii="Times New Roman" w:hAnsi="Times New Roman"/>
          <w:sz w:val="23"/>
          <w:szCs w:val="23"/>
        </w:rPr>
        <w:t xml:space="preserve"> </w:t>
      </w:r>
      <w:r w:rsidRPr="00DD1539">
        <w:rPr>
          <w:rStyle w:val="citation"/>
          <w:rFonts w:ascii="Times New Roman" w:hAnsi="Times New Roman"/>
          <w:b/>
          <w:bCs/>
          <w:sz w:val="23"/>
          <w:szCs w:val="23"/>
        </w:rPr>
        <w:t>8</w:t>
      </w:r>
      <w:r w:rsidRPr="00DD1539">
        <w:rPr>
          <w:rStyle w:val="citation"/>
          <w:rFonts w:ascii="Times New Roman" w:hAnsi="Times New Roman"/>
          <w:sz w:val="23"/>
          <w:szCs w:val="23"/>
        </w:rPr>
        <w:t>: 69–80.</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J. Scott Armstrong, Kesten C. Green and Andreas Graefe (2010). </w:t>
      </w:r>
      <w:hyperlink r:id="rId78" w:history="1">
        <w:r w:rsidRPr="00DD1539">
          <w:rPr>
            <w:rStyle w:val="Hyperlink"/>
            <w:rFonts w:ascii="Times New Roman" w:hAnsi="Times New Roman"/>
            <w:color w:val="auto"/>
            <w:sz w:val="23"/>
            <w:szCs w:val="23"/>
            <w:u w:val="none"/>
          </w:rPr>
          <w:t>"Answers to Frequently Asked Questions"</w:t>
        </w:r>
      </w:hyperlink>
      <w:r w:rsidRPr="00DD1539">
        <w:rPr>
          <w:rStyle w:val="citation"/>
          <w:rFonts w:ascii="Times New Roman" w:hAnsi="Times New Roman"/>
          <w:sz w:val="23"/>
          <w:szCs w:val="23"/>
        </w:rPr>
        <w:t>.</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Kesten C. Greene and J. Scott Armstrong (2007). </w:t>
      </w:r>
      <w:hyperlink r:id="rId79" w:history="1">
        <w:r w:rsidRPr="00DD1539">
          <w:rPr>
            <w:rStyle w:val="Hyperlink"/>
            <w:rFonts w:ascii="Times New Roman" w:hAnsi="Times New Roman"/>
            <w:color w:val="auto"/>
            <w:sz w:val="23"/>
            <w:szCs w:val="23"/>
            <w:u w:val="none"/>
          </w:rPr>
          <w:t>"The Ombudsman: Value of Expertise for Forecasting Decisions in Conflicts"</w:t>
        </w:r>
      </w:hyperlink>
      <w:r w:rsidRPr="00DD1539">
        <w:rPr>
          <w:rStyle w:val="citation"/>
          <w:rFonts w:ascii="Times New Roman" w:hAnsi="Times New Roman"/>
          <w:sz w:val="23"/>
          <w:szCs w:val="23"/>
        </w:rPr>
        <w:t xml:space="preserve">. </w:t>
      </w:r>
      <w:r w:rsidRPr="00DD1539">
        <w:rPr>
          <w:rStyle w:val="citation"/>
          <w:rFonts w:ascii="Times New Roman" w:hAnsi="Times New Roman"/>
          <w:iCs/>
          <w:sz w:val="23"/>
          <w:szCs w:val="23"/>
        </w:rPr>
        <w:t>Interfaces</w:t>
      </w:r>
      <w:r w:rsidRPr="00DD1539">
        <w:rPr>
          <w:rStyle w:val="citation"/>
          <w:rFonts w:ascii="Times New Roman" w:hAnsi="Times New Roman"/>
          <w:sz w:val="23"/>
          <w:szCs w:val="23"/>
        </w:rPr>
        <w:t xml:space="preserve"> (INFORMS) </w:t>
      </w:r>
      <w:r w:rsidRPr="00DD1539">
        <w:rPr>
          <w:rStyle w:val="citation"/>
          <w:rFonts w:ascii="Times New Roman" w:hAnsi="Times New Roman"/>
          <w:b/>
          <w:bCs/>
          <w:sz w:val="23"/>
          <w:szCs w:val="23"/>
        </w:rPr>
        <w:t>0</w:t>
      </w:r>
      <w:r w:rsidRPr="00DD1539">
        <w:rPr>
          <w:rStyle w:val="citation"/>
          <w:rFonts w:ascii="Times New Roman" w:hAnsi="Times New Roman"/>
          <w:sz w:val="23"/>
          <w:szCs w:val="23"/>
        </w:rPr>
        <w:t>: 1–12.</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Kesten C. Green and J. Scott Armstrong (1975). </w:t>
      </w:r>
      <w:hyperlink r:id="rId80" w:history="1">
        <w:r w:rsidRPr="00DD1539">
          <w:rPr>
            <w:rStyle w:val="Hyperlink"/>
            <w:rFonts w:ascii="Times New Roman" w:hAnsi="Times New Roman"/>
            <w:color w:val="auto"/>
            <w:sz w:val="23"/>
            <w:szCs w:val="23"/>
            <w:u w:val="none"/>
          </w:rPr>
          <w:t>"Role thinking: Standing in other people’s shoes to forecast decisions in conflicts"</w:t>
        </w:r>
      </w:hyperlink>
      <w:r w:rsidRPr="00DD1539">
        <w:rPr>
          <w:rStyle w:val="citation"/>
          <w:rFonts w:ascii="Times New Roman" w:hAnsi="Times New Roman"/>
          <w:sz w:val="23"/>
          <w:szCs w:val="23"/>
        </w:rPr>
        <w:t xml:space="preserve">. </w:t>
      </w:r>
      <w:r w:rsidRPr="00DD1539">
        <w:rPr>
          <w:rStyle w:val="citation"/>
          <w:rFonts w:ascii="Times New Roman" w:hAnsi="Times New Roman"/>
          <w:iCs/>
          <w:sz w:val="23"/>
          <w:szCs w:val="23"/>
        </w:rPr>
        <w:t>Role thinking: Standing in other people’s shoes to forecast decisions in conflicts</w:t>
      </w:r>
      <w:r w:rsidRPr="00DD1539">
        <w:rPr>
          <w:rStyle w:val="citation"/>
          <w:rFonts w:ascii="Times New Roman" w:hAnsi="Times New Roman"/>
          <w:sz w:val="23"/>
          <w:szCs w:val="23"/>
        </w:rPr>
        <w:t xml:space="preserve"> </w:t>
      </w:r>
      <w:r w:rsidRPr="00DD1539">
        <w:rPr>
          <w:rStyle w:val="citation"/>
          <w:rFonts w:ascii="Times New Roman" w:hAnsi="Times New Roman"/>
          <w:b/>
          <w:bCs/>
          <w:sz w:val="23"/>
          <w:szCs w:val="23"/>
        </w:rPr>
        <w:t>39</w:t>
      </w:r>
      <w:r w:rsidRPr="00DD1539">
        <w:rPr>
          <w:rStyle w:val="citation"/>
          <w:rFonts w:ascii="Times New Roman" w:hAnsi="Times New Roman"/>
          <w:sz w:val="23"/>
          <w:szCs w:val="23"/>
        </w:rPr>
        <w:t>: 111–116.</w:t>
      </w:r>
      <w:r w:rsidRPr="00DD1539">
        <w:rPr>
          <w:rStyle w:val="z3988"/>
          <w:rFonts w:ascii="Times New Roman" w:hAnsi="Times New Roman"/>
          <w:vanish/>
          <w:sz w:val="23"/>
          <w:szCs w:val="23"/>
        </w:rPr>
        <w:t> </w:t>
      </w:r>
    </w:p>
    <w:p w:rsidR="0097372C" w:rsidRPr="00DD1539" w:rsidRDefault="008618C8" w:rsidP="00536889">
      <w:pPr>
        <w:numPr>
          <w:ilvl w:val="1"/>
          <w:numId w:val="6"/>
        </w:numPr>
        <w:spacing w:after="0" w:line="360" w:lineRule="auto"/>
        <w:ind w:left="360"/>
        <w:jc w:val="both"/>
        <w:rPr>
          <w:rFonts w:ascii="Times New Roman" w:hAnsi="Times New Roman"/>
          <w:sz w:val="23"/>
          <w:szCs w:val="23"/>
        </w:rPr>
      </w:pPr>
      <w:hyperlink r:id="rId81" w:history="1">
        <w:r w:rsidR="0097372C" w:rsidRPr="00DD1539">
          <w:rPr>
            <w:rStyle w:val="Hyperlink"/>
            <w:rFonts w:ascii="Times New Roman" w:hAnsi="Times New Roman"/>
            <w:color w:val="auto"/>
            <w:sz w:val="23"/>
            <w:szCs w:val="23"/>
            <w:u w:val="none"/>
          </w:rPr>
          <w:t>"FAQ"</w:t>
        </w:r>
      </w:hyperlink>
      <w:r w:rsidR="0097372C" w:rsidRPr="00DD1539">
        <w:rPr>
          <w:rStyle w:val="citation"/>
          <w:rFonts w:ascii="Times New Roman" w:hAnsi="Times New Roman"/>
          <w:sz w:val="23"/>
          <w:szCs w:val="23"/>
        </w:rPr>
        <w:t>. Forecastingprinciples.com. 1998-02-14</w:t>
      </w:r>
      <w:r w:rsidR="0097372C" w:rsidRPr="00DD1539">
        <w:rPr>
          <w:rStyle w:val="reference-accessdate"/>
          <w:rFonts w:ascii="Times New Roman" w:hAnsi="Times New Roman"/>
          <w:sz w:val="23"/>
          <w:szCs w:val="23"/>
        </w:rPr>
        <w:t>. Retrieved 2012-08-28</w:t>
      </w:r>
      <w:r w:rsidR="0097372C" w:rsidRPr="00DD1539">
        <w:rPr>
          <w:rStyle w:val="citation"/>
          <w:rFonts w:ascii="Times New Roman" w:hAnsi="Times New Roman"/>
          <w:sz w:val="23"/>
          <w:szCs w:val="23"/>
        </w:rPr>
        <w:t>.</w:t>
      </w:r>
      <w:r w:rsidR="0097372C"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Kesten C. Greene and J. Scott Armstrong. [</w:t>
      </w:r>
      <w:hyperlink r:id="rId82" w:history="1">
        <w:r w:rsidRPr="00DD1539">
          <w:rPr>
            <w:rStyle w:val="Hyperlink"/>
            <w:rFonts w:ascii="Times New Roman" w:hAnsi="Times New Roman"/>
            <w:color w:val="auto"/>
            <w:sz w:val="23"/>
            <w:szCs w:val="23"/>
            <w:u w:val="none"/>
          </w:rPr>
          <w:t>http://www.qbox.wharton.upenn.edu/documents/mktg/research/INTFOR3581%20-%20Publication%</w:t>
        </w:r>
      </w:hyperlink>
      <w:r w:rsidRPr="00DD1539">
        <w:rPr>
          <w:rStyle w:val="citation"/>
          <w:rFonts w:ascii="Times New Roman" w:hAnsi="Times New Roman"/>
          <w:sz w:val="23"/>
          <w:szCs w:val="23"/>
        </w:rPr>
        <w:t xml:space="preserve"> 2015.pdf "Structured analogies for forecasting"] (PDF). qbox.wharton.upenn.edu.</w:t>
      </w:r>
      <w:r w:rsidRPr="00DD1539">
        <w:rPr>
          <w:rStyle w:val="z3988"/>
          <w:rFonts w:ascii="Times New Roman" w:hAnsi="Times New Roman"/>
          <w:vanish/>
          <w:sz w:val="23"/>
          <w:szCs w:val="23"/>
        </w:rPr>
        <w:t> </w:t>
      </w:r>
    </w:p>
    <w:p w:rsidR="0097372C" w:rsidRPr="00DD1539" w:rsidRDefault="008618C8" w:rsidP="00536889">
      <w:pPr>
        <w:numPr>
          <w:ilvl w:val="1"/>
          <w:numId w:val="6"/>
        </w:numPr>
        <w:spacing w:after="0" w:line="360" w:lineRule="auto"/>
        <w:ind w:left="360"/>
        <w:jc w:val="both"/>
        <w:rPr>
          <w:rFonts w:ascii="Times New Roman" w:hAnsi="Times New Roman"/>
          <w:sz w:val="23"/>
          <w:szCs w:val="23"/>
        </w:rPr>
      </w:pPr>
      <w:hyperlink r:id="rId83" w:anchor="D._Choosing_the_best_method" w:history="1">
        <w:r w:rsidR="0097372C" w:rsidRPr="00DD1539">
          <w:rPr>
            <w:rStyle w:val="Hyperlink"/>
            <w:rFonts w:ascii="Times New Roman" w:hAnsi="Times New Roman"/>
            <w:color w:val="auto"/>
            <w:sz w:val="23"/>
            <w:szCs w:val="23"/>
            <w:u w:val="none"/>
          </w:rPr>
          <w:t>"FAQ"</w:t>
        </w:r>
      </w:hyperlink>
      <w:r w:rsidR="0097372C" w:rsidRPr="00DD1539">
        <w:rPr>
          <w:rStyle w:val="citation"/>
          <w:rFonts w:ascii="Times New Roman" w:hAnsi="Times New Roman"/>
          <w:sz w:val="23"/>
          <w:szCs w:val="23"/>
        </w:rPr>
        <w:t>. Forecastingprinciples.com. 1998-02-14</w:t>
      </w:r>
      <w:r w:rsidR="0097372C" w:rsidRPr="00DD1539">
        <w:rPr>
          <w:rStyle w:val="reference-accessdate"/>
          <w:rFonts w:ascii="Times New Roman" w:hAnsi="Times New Roman"/>
          <w:sz w:val="23"/>
          <w:szCs w:val="23"/>
        </w:rPr>
        <w:t>. Retrieved 2012-08-28</w:t>
      </w:r>
      <w:r w:rsidR="0097372C" w:rsidRPr="00DD1539">
        <w:rPr>
          <w:rStyle w:val="citation"/>
          <w:rFonts w:ascii="Times New Roman" w:hAnsi="Times New Roman"/>
          <w:sz w:val="23"/>
          <w:szCs w:val="23"/>
        </w:rPr>
        <w:t>.</w:t>
      </w:r>
      <w:r w:rsidR="0097372C" w:rsidRPr="00DD1539">
        <w:rPr>
          <w:rStyle w:val="z3988"/>
          <w:rFonts w:ascii="Times New Roman" w:hAnsi="Times New Roman"/>
          <w:vanish/>
          <w:sz w:val="23"/>
          <w:szCs w:val="23"/>
        </w:rPr>
        <w:t> </w:t>
      </w:r>
    </w:p>
    <w:p w:rsidR="0097372C" w:rsidRPr="00DD1539" w:rsidRDefault="008618C8" w:rsidP="00536889">
      <w:pPr>
        <w:numPr>
          <w:ilvl w:val="1"/>
          <w:numId w:val="6"/>
        </w:numPr>
        <w:spacing w:after="0" w:line="360" w:lineRule="auto"/>
        <w:ind w:left="360"/>
        <w:jc w:val="both"/>
        <w:rPr>
          <w:rFonts w:ascii="Times New Roman" w:hAnsi="Times New Roman"/>
          <w:sz w:val="23"/>
          <w:szCs w:val="23"/>
        </w:rPr>
      </w:pPr>
      <w:hyperlink r:id="rId84" w:history="1">
        <w:r w:rsidR="0097372C" w:rsidRPr="00DD1539">
          <w:rPr>
            <w:rStyle w:val="Hyperlink"/>
            <w:rFonts w:ascii="Times New Roman" w:hAnsi="Times New Roman"/>
            <w:color w:val="auto"/>
            <w:sz w:val="23"/>
            <w:szCs w:val="23"/>
            <w:u w:val="none"/>
          </w:rPr>
          <w:t>"Selection Tree"</w:t>
        </w:r>
      </w:hyperlink>
      <w:r w:rsidR="0097372C" w:rsidRPr="00DD1539">
        <w:rPr>
          <w:rStyle w:val="citation"/>
          <w:rFonts w:ascii="Times New Roman" w:hAnsi="Times New Roman"/>
          <w:sz w:val="23"/>
          <w:szCs w:val="23"/>
        </w:rPr>
        <w:t>. Forecastingprinciples.com. 1998-02-14</w:t>
      </w:r>
      <w:r w:rsidR="0097372C" w:rsidRPr="00DD1539">
        <w:rPr>
          <w:rStyle w:val="reference-accessdate"/>
          <w:rFonts w:ascii="Times New Roman" w:hAnsi="Times New Roman"/>
          <w:sz w:val="23"/>
          <w:szCs w:val="23"/>
        </w:rPr>
        <w:t>. Retrieved 2012-08-28</w:t>
      </w:r>
      <w:r w:rsidR="0097372C" w:rsidRPr="00DD1539">
        <w:rPr>
          <w:rStyle w:val="citation"/>
          <w:rFonts w:ascii="Times New Roman" w:hAnsi="Times New Roman"/>
          <w:sz w:val="23"/>
          <w:szCs w:val="23"/>
        </w:rPr>
        <w:t>.</w:t>
      </w:r>
      <w:r w:rsidR="0097372C"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J. Scott Armstrong (1983). </w:t>
      </w:r>
      <w:hyperlink r:id="rId85" w:history="1">
        <w:r w:rsidRPr="00DD1539">
          <w:rPr>
            <w:rStyle w:val="Hyperlink"/>
            <w:rFonts w:ascii="Times New Roman" w:hAnsi="Times New Roman"/>
            <w:color w:val="auto"/>
            <w:sz w:val="23"/>
            <w:szCs w:val="23"/>
            <w:u w:val="none"/>
          </w:rPr>
          <w:t>"Relative Accuracy of Judgmental and Extrapolative Methods in Forecasting Annual Earnings"</w:t>
        </w:r>
      </w:hyperlink>
      <w:r w:rsidRPr="00DD1539">
        <w:rPr>
          <w:rStyle w:val="citation"/>
          <w:rFonts w:ascii="Times New Roman" w:hAnsi="Times New Roman"/>
          <w:sz w:val="23"/>
          <w:szCs w:val="23"/>
        </w:rPr>
        <w:t xml:space="preserve">. </w:t>
      </w:r>
      <w:r w:rsidRPr="00DD1539">
        <w:rPr>
          <w:rStyle w:val="citation"/>
          <w:rFonts w:ascii="Times New Roman" w:hAnsi="Times New Roman"/>
          <w:iCs/>
          <w:sz w:val="23"/>
          <w:szCs w:val="23"/>
        </w:rPr>
        <w:t>Journal of Forecasting</w:t>
      </w:r>
      <w:r w:rsidRPr="00DD1539">
        <w:rPr>
          <w:rStyle w:val="citation"/>
          <w:rFonts w:ascii="Times New Roman" w:hAnsi="Times New Roman"/>
          <w:sz w:val="23"/>
          <w:szCs w:val="23"/>
        </w:rPr>
        <w:t xml:space="preserve"> </w:t>
      </w:r>
      <w:r w:rsidRPr="00DD1539">
        <w:rPr>
          <w:rStyle w:val="citation"/>
          <w:rFonts w:ascii="Times New Roman" w:hAnsi="Times New Roman"/>
          <w:b/>
          <w:bCs/>
          <w:sz w:val="23"/>
          <w:szCs w:val="23"/>
        </w:rPr>
        <w:t>2</w:t>
      </w:r>
      <w:r w:rsidRPr="00DD1539">
        <w:rPr>
          <w:rStyle w:val="citation"/>
          <w:rFonts w:ascii="Times New Roman" w:hAnsi="Times New Roman"/>
          <w:sz w:val="23"/>
          <w:szCs w:val="23"/>
        </w:rPr>
        <w:t>: 437–447.</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Fonts w:ascii="Times New Roman" w:hAnsi="Times New Roman"/>
          <w:sz w:val="23"/>
          <w:szCs w:val="23"/>
        </w:rPr>
      </w:pPr>
      <w:r w:rsidRPr="00DD1539">
        <w:rPr>
          <w:rStyle w:val="citation"/>
          <w:rFonts w:ascii="Times New Roman" w:hAnsi="Times New Roman"/>
          <w:sz w:val="23"/>
          <w:szCs w:val="23"/>
        </w:rPr>
        <w:t xml:space="preserve">Cox, John D. (2002). </w:t>
      </w:r>
      <w:r w:rsidRPr="00DD1539">
        <w:rPr>
          <w:rStyle w:val="citation"/>
          <w:rFonts w:ascii="Times New Roman" w:hAnsi="Times New Roman"/>
          <w:iCs/>
          <w:sz w:val="23"/>
          <w:szCs w:val="23"/>
        </w:rPr>
        <w:t>Storm Watchers</w:t>
      </w:r>
      <w:r w:rsidRPr="00DD1539">
        <w:rPr>
          <w:rStyle w:val="citation"/>
          <w:rFonts w:ascii="Times New Roman" w:hAnsi="Times New Roman"/>
          <w:sz w:val="23"/>
          <w:szCs w:val="23"/>
        </w:rPr>
        <w:t xml:space="preserve">. John Wiley &amp; Sons, Inc. pp. 222–224. </w:t>
      </w:r>
      <w:hyperlink r:id="rId86" w:tooltip="International Standard Book Number" w:history="1">
        <w:r w:rsidRPr="00DD1539">
          <w:rPr>
            <w:rStyle w:val="Hyperlink"/>
            <w:rFonts w:ascii="Times New Roman" w:hAnsi="Times New Roman"/>
            <w:color w:val="auto"/>
            <w:sz w:val="23"/>
            <w:szCs w:val="23"/>
            <w:u w:val="none"/>
          </w:rPr>
          <w:t>ISBN</w:t>
        </w:r>
      </w:hyperlink>
      <w:r w:rsidRPr="00DD1539">
        <w:rPr>
          <w:rStyle w:val="citation"/>
          <w:rFonts w:ascii="Times New Roman" w:hAnsi="Times New Roman"/>
          <w:sz w:val="23"/>
          <w:szCs w:val="23"/>
        </w:rPr>
        <w:t> </w:t>
      </w:r>
      <w:hyperlink r:id="rId87" w:tooltip="Special:BookSources/0-471-38108-X" w:history="1">
        <w:r w:rsidRPr="00DD1539">
          <w:rPr>
            <w:rStyle w:val="Hyperlink"/>
            <w:rFonts w:ascii="Times New Roman" w:hAnsi="Times New Roman"/>
            <w:color w:val="auto"/>
            <w:sz w:val="23"/>
            <w:szCs w:val="23"/>
            <w:u w:val="none"/>
          </w:rPr>
          <w:t>0-471-38108-X</w:t>
        </w:r>
      </w:hyperlink>
      <w:r w:rsidRPr="00DD1539">
        <w:rPr>
          <w:rStyle w:val="citation"/>
          <w:rFonts w:ascii="Times New Roman" w:hAnsi="Times New Roman"/>
          <w:sz w:val="23"/>
          <w:szCs w:val="23"/>
        </w:rPr>
        <w:t>.</w:t>
      </w:r>
      <w:r w:rsidRPr="00DD1539">
        <w:rPr>
          <w:rStyle w:val="z3988"/>
          <w:rFonts w:ascii="Times New Roman" w:hAnsi="Times New Roman"/>
          <w:vanish/>
          <w:sz w:val="23"/>
          <w:szCs w:val="23"/>
        </w:rPr>
        <w:t> </w:t>
      </w:r>
    </w:p>
    <w:p w:rsidR="0097372C" w:rsidRPr="00DD1539" w:rsidRDefault="0097372C" w:rsidP="00536889">
      <w:pPr>
        <w:numPr>
          <w:ilvl w:val="1"/>
          <w:numId w:val="6"/>
        </w:numPr>
        <w:spacing w:after="0" w:line="360" w:lineRule="auto"/>
        <w:ind w:left="360"/>
        <w:jc w:val="both"/>
        <w:rPr>
          <w:rStyle w:val="reference-text"/>
          <w:rFonts w:ascii="Times New Roman" w:hAnsi="Times New Roman"/>
          <w:sz w:val="23"/>
          <w:szCs w:val="23"/>
        </w:rPr>
      </w:pPr>
      <w:r w:rsidRPr="00DD1539">
        <w:rPr>
          <w:rStyle w:val="reference-text"/>
          <w:rFonts w:ascii="Times New Roman" w:hAnsi="Times New Roman"/>
          <w:sz w:val="23"/>
          <w:szCs w:val="23"/>
        </w:rPr>
        <w:t xml:space="preserve">Super intelligence. Answer to the 2009 EDGE QUESTION: "WHAT WILL CHANGE EVERYTHING?": </w:t>
      </w:r>
      <w:hyperlink r:id="rId88" w:history="1">
        <w:r w:rsidRPr="00DD1539">
          <w:rPr>
            <w:rStyle w:val="Hyperlink"/>
            <w:rFonts w:ascii="Times New Roman" w:hAnsi="Times New Roman"/>
            <w:color w:val="auto"/>
            <w:sz w:val="23"/>
            <w:szCs w:val="23"/>
            <w:u w:val="none"/>
          </w:rPr>
          <w:t>http://www.nickbostrom.com/views/superintelligence.pdf</w:t>
        </w:r>
      </w:hyperlink>
    </w:p>
    <w:p w:rsidR="00FF38B9" w:rsidRPr="00DD1539" w:rsidRDefault="0097372C" w:rsidP="00DD1539">
      <w:pPr>
        <w:numPr>
          <w:ilvl w:val="1"/>
          <w:numId w:val="6"/>
        </w:numPr>
        <w:spacing w:after="0" w:line="360" w:lineRule="auto"/>
        <w:ind w:left="360"/>
        <w:jc w:val="both"/>
        <w:rPr>
          <w:rFonts w:ascii="Times New Roman" w:hAnsi="Times New Roman"/>
          <w:sz w:val="24"/>
        </w:rPr>
      </w:pPr>
      <w:r w:rsidRPr="00DD1539">
        <w:rPr>
          <w:rStyle w:val="reference-text"/>
          <w:rFonts w:ascii="Times New Roman" w:hAnsi="Times New Roman"/>
          <w:sz w:val="23"/>
          <w:szCs w:val="23"/>
        </w:rPr>
        <w:t>http://entranceguruji.in/read_matirial.php?maincourse=BBA-MBA%20(Matirials%20for%20business%20Management)&amp;subject=Fundamentals%20of%20Economics&amp;topic=Demand%20and%20supply&amp;subsubject=Importance%20of%20Demand%20Forecasting</w:t>
      </w:r>
      <w:r w:rsidR="00DD1539" w:rsidRPr="00DD1539">
        <w:rPr>
          <w:rStyle w:val="reference-text"/>
          <w:rFonts w:ascii="Times New Roman" w:hAnsi="Times New Roman"/>
          <w:sz w:val="23"/>
          <w:szCs w:val="23"/>
        </w:rPr>
        <w:t>.</w:t>
      </w:r>
      <w:r w:rsidR="003A08A1" w:rsidRPr="00DD1539">
        <w:rPr>
          <w:rFonts w:ascii="Times New Roman" w:hAnsi="Times New Roman"/>
          <w:sz w:val="24"/>
        </w:rPr>
        <w:tab/>
      </w:r>
    </w:p>
    <w:sectPr w:rsidR="00FF38B9" w:rsidRPr="00DD1539" w:rsidSect="003A08A1">
      <w:footerReference w:type="default" r:id="rId8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DD0" w:rsidRDefault="00116DD0" w:rsidP="00505401">
      <w:pPr>
        <w:spacing w:after="0" w:line="240" w:lineRule="auto"/>
      </w:pPr>
      <w:r>
        <w:separator/>
      </w:r>
    </w:p>
  </w:endnote>
  <w:endnote w:type="continuationSeparator" w:id="1">
    <w:p w:rsidR="00116DD0" w:rsidRDefault="00116DD0" w:rsidP="005054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196188"/>
      <w:docPartObj>
        <w:docPartGallery w:val="Page Numbers (Bottom of Page)"/>
        <w:docPartUnique/>
      </w:docPartObj>
    </w:sdtPr>
    <w:sdtContent>
      <w:p w:rsidR="0097372C" w:rsidRDefault="008618C8">
        <w:pPr>
          <w:pStyle w:val="Footer"/>
          <w:jc w:val="center"/>
        </w:pPr>
        <w:fldSimple w:instr=" PAGE   \* MERGEFORMAT ">
          <w:r w:rsidR="00E15DD8">
            <w:rPr>
              <w:noProof/>
            </w:rPr>
            <w:t>1</w:t>
          </w:r>
        </w:fldSimple>
      </w:p>
    </w:sdtContent>
  </w:sdt>
  <w:p w:rsidR="0097372C" w:rsidRDefault="009737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DD0" w:rsidRDefault="00116DD0" w:rsidP="00505401">
      <w:pPr>
        <w:spacing w:after="0" w:line="240" w:lineRule="auto"/>
      </w:pPr>
      <w:r>
        <w:separator/>
      </w:r>
    </w:p>
  </w:footnote>
  <w:footnote w:type="continuationSeparator" w:id="1">
    <w:p w:rsidR="00116DD0" w:rsidRDefault="00116DD0" w:rsidP="005054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93C11"/>
    <w:multiLevelType w:val="multilevel"/>
    <w:tmpl w:val="0E5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835A25"/>
    <w:multiLevelType w:val="multilevel"/>
    <w:tmpl w:val="F2CC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7A3E80"/>
    <w:multiLevelType w:val="hybridMultilevel"/>
    <w:tmpl w:val="B0EE34B6"/>
    <w:lvl w:ilvl="0" w:tplc="F162E5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464326"/>
    <w:multiLevelType w:val="hybridMultilevel"/>
    <w:tmpl w:val="A36E1F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D1788C"/>
    <w:multiLevelType w:val="multilevel"/>
    <w:tmpl w:val="D5769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6218DF"/>
    <w:multiLevelType w:val="multilevel"/>
    <w:tmpl w:val="BAAE1F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08A1"/>
    <w:rsid w:val="00030E9A"/>
    <w:rsid w:val="000979CA"/>
    <w:rsid w:val="000A0E68"/>
    <w:rsid w:val="000C2DC3"/>
    <w:rsid w:val="001018E1"/>
    <w:rsid w:val="00116DD0"/>
    <w:rsid w:val="00160287"/>
    <w:rsid w:val="00174BD8"/>
    <w:rsid w:val="0020688E"/>
    <w:rsid w:val="00230E30"/>
    <w:rsid w:val="002931E4"/>
    <w:rsid w:val="00325693"/>
    <w:rsid w:val="003A08A1"/>
    <w:rsid w:val="003A6A1A"/>
    <w:rsid w:val="003A7549"/>
    <w:rsid w:val="003C0DEB"/>
    <w:rsid w:val="00472D7D"/>
    <w:rsid w:val="004C610C"/>
    <w:rsid w:val="00505401"/>
    <w:rsid w:val="00516CED"/>
    <w:rsid w:val="00536889"/>
    <w:rsid w:val="005C38FE"/>
    <w:rsid w:val="00613324"/>
    <w:rsid w:val="006A7679"/>
    <w:rsid w:val="006D5DE0"/>
    <w:rsid w:val="007179A5"/>
    <w:rsid w:val="00724C22"/>
    <w:rsid w:val="00733FF2"/>
    <w:rsid w:val="007653CD"/>
    <w:rsid w:val="007851F8"/>
    <w:rsid w:val="007C7EF3"/>
    <w:rsid w:val="008155BA"/>
    <w:rsid w:val="00834A9D"/>
    <w:rsid w:val="00846BF0"/>
    <w:rsid w:val="008618C8"/>
    <w:rsid w:val="0088006B"/>
    <w:rsid w:val="00893026"/>
    <w:rsid w:val="00906CE6"/>
    <w:rsid w:val="0097372C"/>
    <w:rsid w:val="009A58D1"/>
    <w:rsid w:val="00A155F0"/>
    <w:rsid w:val="00A82FCC"/>
    <w:rsid w:val="00AD320A"/>
    <w:rsid w:val="00AD3554"/>
    <w:rsid w:val="00B0092A"/>
    <w:rsid w:val="00B369E5"/>
    <w:rsid w:val="00BE7046"/>
    <w:rsid w:val="00BF055F"/>
    <w:rsid w:val="00C12CA5"/>
    <w:rsid w:val="00C178C6"/>
    <w:rsid w:val="00C3227D"/>
    <w:rsid w:val="00C72A55"/>
    <w:rsid w:val="00C8448C"/>
    <w:rsid w:val="00CE7D8D"/>
    <w:rsid w:val="00CE7E6E"/>
    <w:rsid w:val="00D56E78"/>
    <w:rsid w:val="00D76234"/>
    <w:rsid w:val="00D80214"/>
    <w:rsid w:val="00D83D29"/>
    <w:rsid w:val="00DA324B"/>
    <w:rsid w:val="00DD1539"/>
    <w:rsid w:val="00DE0012"/>
    <w:rsid w:val="00E112B4"/>
    <w:rsid w:val="00E15DD8"/>
    <w:rsid w:val="00E81A94"/>
    <w:rsid w:val="00F131AD"/>
    <w:rsid w:val="00F379F7"/>
    <w:rsid w:val="00F4493A"/>
    <w:rsid w:val="00FB2D61"/>
    <w:rsid w:val="00FF38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8A1"/>
    <w:rPr>
      <w:rFonts w:ascii="Calibri" w:eastAsia="Calibri" w:hAnsi="Calibri"/>
      <w:sz w:val="22"/>
      <w:szCs w:val="22"/>
    </w:rPr>
  </w:style>
  <w:style w:type="paragraph" w:styleId="Heading2">
    <w:name w:val="heading 2"/>
    <w:basedOn w:val="Normal"/>
    <w:next w:val="Normal"/>
    <w:link w:val="Heading2Char"/>
    <w:uiPriority w:val="9"/>
    <w:qFormat/>
    <w:rsid w:val="0097372C"/>
    <w:pPr>
      <w:keepNext/>
      <w:spacing w:after="120" w:line="240" w:lineRule="auto"/>
      <w:ind w:right="-96"/>
      <w:outlineLvl w:val="1"/>
    </w:pPr>
    <w:rPr>
      <w:rFonts w:ascii="Times New Roman" w:eastAsia="Times New Roman" w:hAnsi="Times New Roman"/>
      <w:b/>
      <w:smallCaps/>
      <w:sz w:val="28"/>
      <w:szCs w:val="20"/>
      <w:lang w:val="en-GB"/>
    </w:rPr>
  </w:style>
  <w:style w:type="paragraph" w:styleId="Heading3">
    <w:name w:val="heading 3"/>
    <w:basedOn w:val="Normal"/>
    <w:next w:val="Normal"/>
    <w:link w:val="Heading3Char"/>
    <w:uiPriority w:val="9"/>
    <w:qFormat/>
    <w:rsid w:val="0097372C"/>
    <w:pPr>
      <w:keepNext/>
      <w:spacing w:after="120" w:line="240" w:lineRule="auto"/>
      <w:ind w:right="-96"/>
      <w:outlineLvl w:val="2"/>
    </w:pPr>
    <w:rPr>
      <w:rFonts w:ascii="Times New Roman" w:eastAsia="Times New Roman" w:hAnsi="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08A1"/>
    <w:pPr>
      <w:spacing w:after="0" w:line="240" w:lineRule="auto"/>
    </w:pPr>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3A08A1"/>
    <w:rPr>
      <w:i/>
      <w:iCs/>
    </w:rPr>
  </w:style>
  <w:style w:type="paragraph" w:styleId="NoSpacing">
    <w:name w:val="No Spacing"/>
    <w:uiPriority w:val="1"/>
    <w:qFormat/>
    <w:rsid w:val="003A08A1"/>
    <w:pPr>
      <w:spacing w:after="0" w:line="240" w:lineRule="auto"/>
    </w:pPr>
    <w:rPr>
      <w:rFonts w:ascii="Calibri" w:eastAsia="Calibri" w:hAnsi="Calibri"/>
      <w:sz w:val="22"/>
      <w:szCs w:val="22"/>
      <w:lang w:val="en-GB"/>
    </w:rPr>
  </w:style>
  <w:style w:type="paragraph" w:styleId="ListParagraph">
    <w:name w:val="List Paragraph"/>
    <w:basedOn w:val="Normal"/>
    <w:uiPriority w:val="34"/>
    <w:qFormat/>
    <w:rsid w:val="003A08A1"/>
    <w:pPr>
      <w:ind w:left="720"/>
      <w:contextualSpacing/>
    </w:pPr>
  </w:style>
  <w:style w:type="paragraph" w:styleId="BalloonText">
    <w:name w:val="Balloon Text"/>
    <w:basedOn w:val="Normal"/>
    <w:link w:val="BalloonTextChar"/>
    <w:uiPriority w:val="99"/>
    <w:semiHidden/>
    <w:unhideWhenUsed/>
    <w:rsid w:val="007C7E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EF3"/>
    <w:rPr>
      <w:rFonts w:ascii="Tahoma" w:eastAsia="Calibri" w:hAnsi="Tahoma" w:cs="Tahoma"/>
      <w:sz w:val="16"/>
      <w:szCs w:val="16"/>
    </w:rPr>
  </w:style>
  <w:style w:type="paragraph" w:styleId="NormalWeb">
    <w:name w:val="Normal (Web)"/>
    <w:basedOn w:val="Normal"/>
    <w:uiPriority w:val="99"/>
    <w:unhideWhenUsed/>
    <w:rsid w:val="00A82FCC"/>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semiHidden/>
    <w:unhideWhenUsed/>
    <w:rsid w:val="0050540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5401"/>
    <w:rPr>
      <w:rFonts w:ascii="Calibri" w:eastAsia="Calibri" w:hAnsi="Calibri"/>
      <w:sz w:val="22"/>
      <w:szCs w:val="22"/>
    </w:rPr>
  </w:style>
  <w:style w:type="paragraph" w:styleId="Footer">
    <w:name w:val="footer"/>
    <w:basedOn w:val="Normal"/>
    <w:link w:val="FooterChar"/>
    <w:uiPriority w:val="99"/>
    <w:unhideWhenUsed/>
    <w:rsid w:val="00505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401"/>
    <w:rPr>
      <w:rFonts w:ascii="Calibri" w:eastAsia="Calibri" w:hAnsi="Calibri"/>
      <w:sz w:val="22"/>
      <w:szCs w:val="22"/>
    </w:rPr>
  </w:style>
  <w:style w:type="character" w:customStyle="1" w:styleId="Heading2Char">
    <w:name w:val="Heading 2 Char"/>
    <w:basedOn w:val="DefaultParagraphFont"/>
    <w:link w:val="Heading2"/>
    <w:uiPriority w:val="9"/>
    <w:rsid w:val="0097372C"/>
    <w:rPr>
      <w:rFonts w:eastAsia="Times New Roman"/>
      <w:b/>
      <w:smallCaps/>
      <w:sz w:val="28"/>
      <w:szCs w:val="20"/>
      <w:lang w:val="en-GB"/>
    </w:rPr>
  </w:style>
  <w:style w:type="character" w:customStyle="1" w:styleId="Heading3Char">
    <w:name w:val="Heading 3 Char"/>
    <w:basedOn w:val="DefaultParagraphFont"/>
    <w:link w:val="Heading3"/>
    <w:uiPriority w:val="9"/>
    <w:rsid w:val="0097372C"/>
    <w:rPr>
      <w:rFonts w:eastAsia="Times New Roman"/>
      <w:b/>
      <w:szCs w:val="20"/>
      <w:lang w:val="en-GB"/>
    </w:rPr>
  </w:style>
  <w:style w:type="character" w:styleId="Hyperlink">
    <w:name w:val="Hyperlink"/>
    <w:basedOn w:val="DefaultParagraphFont"/>
    <w:uiPriority w:val="99"/>
    <w:unhideWhenUsed/>
    <w:rsid w:val="0097372C"/>
    <w:rPr>
      <w:color w:val="0000FF"/>
      <w:u w:val="single"/>
    </w:rPr>
  </w:style>
  <w:style w:type="character" w:customStyle="1" w:styleId="mw-headline">
    <w:name w:val="mw-headline"/>
    <w:basedOn w:val="DefaultParagraphFont"/>
    <w:rsid w:val="0097372C"/>
  </w:style>
  <w:style w:type="character" w:customStyle="1" w:styleId="citation">
    <w:name w:val="citation"/>
    <w:basedOn w:val="DefaultParagraphFont"/>
    <w:rsid w:val="0097372C"/>
  </w:style>
  <w:style w:type="character" w:customStyle="1" w:styleId="z3988">
    <w:name w:val="z3988"/>
    <w:basedOn w:val="DefaultParagraphFont"/>
    <w:rsid w:val="0097372C"/>
  </w:style>
  <w:style w:type="character" w:customStyle="1" w:styleId="reference-text">
    <w:name w:val="reference-text"/>
    <w:basedOn w:val="DefaultParagraphFont"/>
    <w:rsid w:val="0097372C"/>
  </w:style>
  <w:style w:type="character" w:customStyle="1" w:styleId="reference-accessdate">
    <w:name w:val="reference-accessdate"/>
    <w:basedOn w:val="DefaultParagraphFont"/>
    <w:rsid w:val="0097372C"/>
  </w:style>
  <w:style w:type="table" w:styleId="LightShading-Accent3">
    <w:name w:val="Light Shading Accent 3"/>
    <w:basedOn w:val="TableNormal"/>
    <w:uiPriority w:val="60"/>
    <w:rsid w:val="00CE7D8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4">
    <w:name w:val="Light List Accent 4"/>
    <w:basedOn w:val="TableNormal"/>
    <w:uiPriority w:val="61"/>
    <w:rsid w:val="00CE7D8D"/>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E7D8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CE7D8D"/>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E7D8D"/>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List-Accent3">
    <w:name w:val="Light List Accent 3"/>
    <w:basedOn w:val="TableNormal"/>
    <w:uiPriority w:val="61"/>
    <w:rsid w:val="00DE001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2">
    <w:name w:val="Light List Accent 2"/>
    <w:basedOn w:val="TableNormal"/>
    <w:uiPriority w:val="61"/>
    <w:rsid w:val="00DE001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Shading1-Accent2">
    <w:name w:val="Medium Shading 1 Accent 2"/>
    <w:basedOn w:val="TableNormal"/>
    <w:uiPriority w:val="63"/>
    <w:rsid w:val="00DE0012"/>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E001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484203097">
      <w:bodyDiv w:val="1"/>
      <w:marLeft w:val="0"/>
      <w:marRight w:val="0"/>
      <w:marTop w:val="0"/>
      <w:marBottom w:val="0"/>
      <w:divBdr>
        <w:top w:val="none" w:sz="0" w:space="0" w:color="auto"/>
        <w:left w:val="none" w:sz="0" w:space="0" w:color="auto"/>
        <w:bottom w:val="none" w:sz="0" w:space="0" w:color="auto"/>
        <w:right w:val="none" w:sz="0" w:space="0" w:color="auto"/>
      </w:divBdr>
    </w:div>
    <w:div w:id="507721138">
      <w:bodyDiv w:val="1"/>
      <w:marLeft w:val="0"/>
      <w:marRight w:val="0"/>
      <w:marTop w:val="0"/>
      <w:marBottom w:val="0"/>
      <w:divBdr>
        <w:top w:val="none" w:sz="0" w:space="0" w:color="auto"/>
        <w:left w:val="none" w:sz="0" w:space="0" w:color="auto"/>
        <w:bottom w:val="none" w:sz="0" w:space="0" w:color="auto"/>
        <w:right w:val="none" w:sz="0" w:space="0" w:color="auto"/>
      </w:divBdr>
    </w:div>
    <w:div w:id="529025993">
      <w:bodyDiv w:val="1"/>
      <w:marLeft w:val="0"/>
      <w:marRight w:val="0"/>
      <w:marTop w:val="0"/>
      <w:marBottom w:val="0"/>
      <w:divBdr>
        <w:top w:val="none" w:sz="0" w:space="0" w:color="auto"/>
        <w:left w:val="none" w:sz="0" w:space="0" w:color="auto"/>
        <w:bottom w:val="none" w:sz="0" w:space="0" w:color="auto"/>
        <w:right w:val="none" w:sz="0" w:space="0" w:color="auto"/>
      </w:divBdr>
    </w:div>
    <w:div w:id="736054456">
      <w:bodyDiv w:val="1"/>
      <w:marLeft w:val="0"/>
      <w:marRight w:val="0"/>
      <w:marTop w:val="0"/>
      <w:marBottom w:val="0"/>
      <w:divBdr>
        <w:top w:val="none" w:sz="0" w:space="0" w:color="auto"/>
        <w:left w:val="none" w:sz="0" w:space="0" w:color="auto"/>
        <w:bottom w:val="none" w:sz="0" w:space="0" w:color="auto"/>
        <w:right w:val="none" w:sz="0" w:space="0" w:color="auto"/>
      </w:divBdr>
    </w:div>
    <w:div w:id="1068066695">
      <w:bodyDiv w:val="1"/>
      <w:marLeft w:val="0"/>
      <w:marRight w:val="0"/>
      <w:marTop w:val="0"/>
      <w:marBottom w:val="0"/>
      <w:divBdr>
        <w:top w:val="none" w:sz="0" w:space="0" w:color="auto"/>
        <w:left w:val="none" w:sz="0" w:space="0" w:color="auto"/>
        <w:bottom w:val="none" w:sz="0" w:space="0" w:color="auto"/>
        <w:right w:val="none" w:sz="0" w:space="0" w:color="auto"/>
      </w:divBdr>
    </w:div>
    <w:div w:id="1093404104">
      <w:bodyDiv w:val="1"/>
      <w:marLeft w:val="0"/>
      <w:marRight w:val="0"/>
      <w:marTop w:val="0"/>
      <w:marBottom w:val="0"/>
      <w:divBdr>
        <w:top w:val="none" w:sz="0" w:space="0" w:color="auto"/>
        <w:left w:val="none" w:sz="0" w:space="0" w:color="auto"/>
        <w:bottom w:val="none" w:sz="0" w:space="0" w:color="auto"/>
        <w:right w:val="none" w:sz="0" w:space="0" w:color="auto"/>
      </w:divBdr>
    </w:div>
    <w:div w:id="1191189917">
      <w:bodyDiv w:val="1"/>
      <w:marLeft w:val="0"/>
      <w:marRight w:val="0"/>
      <w:marTop w:val="0"/>
      <w:marBottom w:val="0"/>
      <w:divBdr>
        <w:top w:val="none" w:sz="0" w:space="0" w:color="auto"/>
        <w:left w:val="none" w:sz="0" w:space="0" w:color="auto"/>
        <w:bottom w:val="none" w:sz="0" w:space="0" w:color="auto"/>
        <w:right w:val="none" w:sz="0" w:space="0" w:color="auto"/>
      </w:divBdr>
    </w:div>
    <w:div w:id="1465195972">
      <w:bodyDiv w:val="1"/>
      <w:marLeft w:val="0"/>
      <w:marRight w:val="0"/>
      <w:marTop w:val="0"/>
      <w:marBottom w:val="0"/>
      <w:divBdr>
        <w:top w:val="none" w:sz="0" w:space="0" w:color="auto"/>
        <w:left w:val="none" w:sz="0" w:space="0" w:color="auto"/>
        <w:bottom w:val="none" w:sz="0" w:space="0" w:color="auto"/>
        <w:right w:val="none" w:sz="0" w:space="0" w:color="auto"/>
      </w:divBdr>
    </w:div>
    <w:div w:id="1574580020">
      <w:bodyDiv w:val="1"/>
      <w:marLeft w:val="0"/>
      <w:marRight w:val="0"/>
      <w:marTop w:val="0"/>
      <w:marBottom w:val="0"/>
      <w:divBdr>
        <w:top w:val="none" w:sz="0" w:space="0" w:color="auto"/>
        <w:left w:val="none" w:sz="0" w:space="0" w:color="auto"/>
        <w:bottom w:val="none" w:sz="0" w:space="0" w:color="auto"/>
        <w:right w:val="none" w:sz="0" w:space="0" w:color="auto"/>
      </w:divBdr>
    </w:div>
    <w:div w:id="191693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Longitudinal_study" TargetMode="External"/><Relationship Id="rId18" Type="http://schemas.openxmlformats.org/officeDocument/2006/relationships/hyperlink" Target="http://en.wikipedia.org/wiki/Forecasting" TargetMode="External"/><Relationship Id="rId26" Type="http://schemas.openxmlformats.org/officeDocument/2006/relationships/hyperlink" Target="http://en.wikipedia.org/wiki/Regression_analysis" TargetMode="External"/><Relationship Id="rId39" Type="http://schemas.openxmlformats.org/officeDocument/2006/relationships/hyperlink" Target="http://en.wikipedia.org/wiki/Egain_Forecasting" TargetMode="External"/><Relationship Id="rId21" Type="http://schemas.openxmlformats.org/officeDocument/2006/relationships/hyperlink" Target="http://en.wikipedia.org/wiki/Moving_average" TargetMode="External"/><Relationship Id="rId34" Type="http://schemas.openxmlformats.org/officeDocument/2006/relationships/hyperlink" Target="http://en.wikipedia.org/wiki/Test_market" TargetMode="External"/><Relationship Id="rId42" Type="http://schemas.openxmlformats.org/officeDocument/2006/relationships/hyperlink" Target="http://en.wikipedia.org/wiki/Forecasting" TargetMode="External"/><Relationship Id="rId47" Type="http://schemas.openxmlformats.org/officeDocument/2006/relationships/hyperlink" Target="http://en.wikipedia.org/wiki/Forecasting" TargetMode="External"/><Relationship Id="rId50" Type="http://schemas.openxmlformats.org/officeDocument/2006/relationships/hyperlink" Target="http://en.wikipedia.org/wiki/Forecasting" TargetMode="External"/><Relationship Id="rId55" Type="http://schemas.openxmlformats.org/officeDocument/2006/relationships/hyperlink" Target="http://en.wikipedia.org/wiki/Technological_singularity" TargetMode="External"/><Relationship Id="rId63" Type="http://schemas.openxmlformats.org/officeDocument/2006/relationships/image" Target="media/image6.png"/><Relationship Id="rId68" Type="http://schemas.openxmlformats.org/officeDocument/2006/relationships/image" Target="media/image11.png"/><Relationship Id="rId76" Type="http://schemas.openxmlformats.org/officeDocument/2006/relationships/hyperlink" Target="http://en.wikipedia.org/wiki/Special:BookSources/978-0-390-87106-0" TargetMode="External"/><Relationship Id="rId84" Type="http://schemas.openxmlformats.org/officeDocument/2006/relationships/hyperlink" Target="http://www.forecastingprinciples.com/index.php?option=com_content&amp;task=view&amp;id=17&amp;Itemid=17" TargetMode="External"/><Relationship Id="rId89" Type="http://schemas.openxmlformats.org/officeDocument/2006/relationships/footer" Target="footer1.xml"/><Relationship Id="rId7" Type="http://schemas.openxmlformats.org/officeDocument/2006/relationships/hyperlink" Target="mailto:rojykengrg@gmail.com" TargetMode="External"/><Relationship Id="rId71"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hyperlink" Target="http://en.wikipedia.org/wiki/Risk" TargetMode="External"/><Relationship Id="rId29" Type="http://schemas.openxmlformats.org/officeDocument/2006/relationships/hyperlink" Target="http://en.wikipedia.org/wiki/ARMAX" TargetMode="External"/><Relationship Id="rId11" Type="http://schemas.openxmlformats.org/officeDocument/2006/relationships/hyperlink" Target="http://en.wikipedia.org/wiki/Time_series" TargetMode="External"/><Relationship Id="rId24" Type="http://schemas.openxmlformats.org/officeDocument/2006/relationships/hyperlink" Target="http://en.wikipedia.org/wiki/Time_series" TargetMode="External"/><Relationship Id="rId32" Type="http://schemas.openxmlformats.org/officeDocument/2006/relationships/hyperlink" Target="http://en.wikipedia.org/wiki/Forecasting" TargetMode="External"/><Relationship Id="rId37" Type="http://schemas.openxmlformats.org/officeDocument/2006/relationships/hyperlink" Target="http://home.snc.edu/eliotelfner/333/rocks/intro.htm" TargetMode="External"/><Relationship Id="rId40" Type="http://schemas.openxmlformats.org/officeDocument/2006/relationships/hyperlink" Target="http://en.wikipedia.org/wiki/Customer_Demand_Planning" TargetMode="External"/><Relationship Id="rId45" Type="http://schemas.openxmlformats.org/officeDocument/2006/relationships/hyperlink" Target="http://en.wikipedia.org/wiki/Forecasting" TargetMode="External"/><Relationship Id="rId53" Type="http://schemas.openxmlformats.org/officeDocument/2006/relationships/hyperlink" Target="http://en.wikipedia.org/wiki/Fluid_dynamics" TargetMode="External"/><Relationship Id="rId58" Type="http://schemas.openxmlformats.org/officeDocument/2006/relationships/image" Target="media/image1.emf"/><Relationship Id="rId66" Type="http://schemas.openxmlformats.org/officeDocument/2006/relationships/image" Target="media/image9.png"/><Relationship Id="rId74" Type="http://schemas.openxmlformats.org/officeDocument/2006/relationships/hyperlink" Target="http://www.forecastingprinciples.com/index.php/faq" TargetMode="External"/><Relationship Id="rId79" Type="http://schemas.openxmlformats.org/officeDocument/2006/relationships/hyperlink" Target="http://marketing.wharton.upenn.edu/documents/research/Value%20of%20expertise.pdf" TargetMode="External"/><Relationship Id="rId87" Type="http://schemas.openxmlformats.org/officeDocument/2006/relationships/hyperlink" Target="http://en.wikipedia.org/wiki/Special:BookSources/0-471-38108-X" TargetMode="External"/><Relationship Id="rId5" Type="http://schemas.openxmlformats.org/officeDocument/2006/relationships/footnotes" Target="footnotes.xml"/><Relationship Id="rId61" Type="http://schemas.openxmlformats.org/officeDocument/2006/relationships/image" Target="media/image4.emf"/><Relationship Id="rId82" Type="http://schemas.openxmlformats.org/officeDocument/2006/relationships/hyperlink" Target="http://www.qbox.wharton.upenn.edu/documents/mktg/research/INTFOR3581%20-%20Publication%25" TargetMode="External"/><Relationship Id="rId90" Type="http://schemas.openxmlformats.org/officeDocument/2006/relationships/fontTable" Target="fontTable.xml"/><Relationship Id="rId19" Type="http://schemas.openxmlformats.org/officeDocument/2006/relationships/hyperlink" Target="http://en.wikipedia.org/wiki/Delphi_method" TargetMode="External"/><Relationship Id="rId14" Type="http://schemas.openxmlformats.org/officeDocument/2006/relationships/hyperlink" Target="http://en.wikipedia.org/wiki/Hydrology" TargetMode="External"/><Relationship Id="rId22" Type="http://schemas.openxmlformats.org/officeDocument/2006/relationships/hyperlink" Target="http://en.wikipedia.org/wiki/Exponential_smoothing" TargetMode="External"/><Relationship Id="rId27" Type="http://schemas.openxmlformats.org/officeDocument/2006/relationships/hyperlink" Target="http://en.wikipedia.org/wiki/Parametric_statistics" TargetMode="External"/><Relationship Id="rId30" Type="http://schemas.openxmlformats.org/officeDocument/2006/relationships/hyperlink" Target="http://en.wikipedia.org/wiki/Forecasting" TargetMode="External"/><Relationship Id="rId35" Type="http://schemas.openxmlformats.org/officeDocument/2006/relationships/hyperlink" Target="http://en.wikipedia.org/wiki/Pricing" TargetMode="External"/><Relationship Id="rId43" Type="http://schemas.openxmlformats.org/officeDocument/2006/relationships/hyperlink" Target="http://en.wikipedia.org/wiki/Forecasting" TargetMode="External"/><Relationship Id="rId48" Type="http://schemas.openxmlformats.org/officeDocument/2006/relationships/hyperlink" Target="http://en.wikipedia.org/wiki/Forecasting" TargetMode="External"/><Relationship Id="rId56" Type="http://schemas.openxmlformats.org/officeDocument/2006/relationships/hyperlink" Target="http://en.wikipedia.org/wiki/Superintelligence" TargetMode="External"/><Relationship Id="rId64" Type="http://schemas.openxmlformats.org/officeDocument/2006/relationships/image" Target="media/image7.png"/><Relationship Id="rId69" Type="http://schemas.openxmlformats.org/officeDocument/2006/relationships/image" Target="media/image12.png"/><Relationship Id="rId77" Type="http://schemas.openxmlformats.org/officeDocument/2006/relationships/hyperlink" Target="http://marketing.wharton.upenn.edu/ideas/pdf/armstrong2/armstrong-errormeasures-empirical.pdf" TargetMode="External"/><Relationship Id="rId8" Type="http://schemas.openxmlformats.org/officeDocument/2006/relationships/hyperlink" Target="mailto:cezeliora@gmail.com" TargetMode="External"/><Relationship Id="rId51" Type="http://schemas.openxmlformats.org/officeDocument/2006/relationships/hyperlink" Target="http://en.wikipedia.org/wiki/Edward_Lorenz" TargetMode="External"/><Relationship Id="rId72" Type="http://schemas.openxmlformats.org/officeDocument/2006/relationships/image" Target="media/image15.png"/><Relationship Id="rId80" Type="http://schemas.openxmlformats.org/officeDocument/2006/relationships/hyperlink" Target="http://www.forecastingprinciples.com/paperpdf/Escalation%20Bias.pdf" TargetMode="External"/><Relationship Id="rId85" Type="http://schemas.openxmlformats.org/officeDocument/2006/relationships/hyperlink" Target="http://www.forecastingprinciples.com/paperpdf/Monetary%20Incentives.pdf" TargetMode="External"/><Relationship Id="rId3" Type="http://schemas.openxmlformats.org/officeDocument/2006/relationships/settings" Target="settings.xml"/><Relationship Id="rId12" Type="http://schemas.openxmlformats.org/officeDocument/2006/relationships/hyperlink" Target="http://en.wikipedia.org/wiki/Cross-sectional_data" TargetMode="External"/><Relationship Id="rId17" Type="http://schemas.openxmlformats.org/officeDocument/2006/relationships/hyperlink" Target="http://en.wikipedia.org/wiki/Uncertainty" TargetMode="External"/><Relationship Id="rId25" Type="http://schemas.openxmlformats.org/officeDocument/2006/relationships/hyperlink" Target="http://en.wikipedia.org/wiki/Forecasting" TargetMode="External"/><Relationship Id="rId33" Type="http://schemas.openxmlformats.org/officeDocument/2006/relationships/hyperlink" Target="http://en.wikipedia.org/wiki/Probability" TargetMode="External"/><Relationship Id="rId38" Type="http://schemas.openxmlformats.org/officeDocument/2006/relationships/hyperlink" Target="http://home.snc.edu/eliotelfner/333/rocks/intro.htm" TargetMode="External"/><Relationship Id="rId46" Type="http://schemas.openxmlformats.org/officeDocument/2006/relationships/hyperlink" Target="http://en.wikipedia.org/wiki/Forecasting" TargetMode="External"/><Relationship Id="rId59" Type="http://schemas.openxmlformats.org/officeDocument/2006/relationships/image" Target="media/image2.emf"/><Relationship Id="rId67" Type="http://schemas.openxmlformats.org/officeDocument/2006/relationships/image" Target="media/image10.png"/><Relationship Id="rId20" Type="http://schemas.openxmlformats.org/officeDocument/2006/relationships/hyperlink" Target="http://en.wikipedia.org/wiki/Market_research" TargetMode="External"/><Relationship Id="rId41" Type="http://schemas.openxmlformats.org/officeDocument/2006/relationships/hyperlink" Target="http://en.wikipedia.org/wiki/Forecasting" TargetMode="External"/><Relationship Id="rId54" Type="http://schemas.openxmlformats.org/officeDocument/2006/relationships/hyperlink" Target="http://en.wikipedia.org/wiki/Forecasting" TargetMode="External"/><Relationship Id="rId62" Type="http://schemas.openxmlformats.org/officeDocument/2006/relationships/image" Target="media/image5.png"/><Relationship Id="rId70" Type="http://schemas.openxmlformats.org/officeDocument/2006/relationships/image" Target="media/image13.png"/><Relationship Id="rId75" Type="http://schemas.openxmlformats.org/officeDocument/2006/relationships/hyperlink" Target="http://en.wikipedia.org/wiki/International_Standard_Book_Number" TargetMode="External"/><Relationship Id="rId83" Type="http://schemas.openxmlformats.org/officeDocument/2006/relationships/hyperlink" Target="http://www.forecastingprinciples.com/index.php?option=com_content&amp;task=view&amp;id=3&amp;Itemid=3" TargetMode="External"/><Relationship Id="rId88" Type="http://schemas.openxmlformats.org/officeDocument/2006/relationships/hyperlink" Target="http://www.nickbostrom.com/views/superintelligence.pdf"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n.wikipedia.org/wiki/Future" TargetMode="External"/><Relationship Id="rId23" Type="http://schemas.openxmlformats.org/officeDocument/2006/relationships/hyperlink" Target="http://en.wikipedia.org/wiki/Unit_root" TargetMode="External"/><Relationship Id="rId28" Type="http://schemas.openxmlformats.org/officeDocument/2006/relationships/hyperlink" Target="http://en.wikipedia.org/wiki/Nonparametric_regression" TargetMode="External"/><Relationship Id="rId36" Type="http://schemas.openxmlformats.org/officeDocument/2006/relationships/hyperlink" Target="http://en.wikipedia.org/wiki/Market_entry" TargetMode="External"/><Relationship Id="rId49" Type="http://schemas.openxmlformats.org/officeDocument/2006/relationships/hyperlink" Target="http://en.wikipedia.org/wiki/Supply_chain_management" TargetMode="External"/><Relationship Id="rId57" Type="http://schemas.openxmlformats.org/officeDocument/2006/relationships/hyperlink" Target="http://en.wikipedia.org/wiki/Forecasting" TargetMode="External"/><Relationship Id="rId10" Type="http://schemas.openxmlformats.org/officeDocument/2006/relationships/hyperlink" Target="http://en.wikipedia.org/wiki/Prediction" TargetMode="External"/><Relationship Id="rId31" Type="http://schemas.openxmlformats.org/officeDocument/2006/relationships/hyperlink" Target="http://en.wikipedia.org/wiki/Mean_square_error" TargetMode="External"/><Relationship Id="rId44" Type="http://schemas.openxmlformats.org/officeDocument/2006/relationships/hyperlink" Target="http://en.wikipedia.org/wiki/Planning" TargetMode="External"/><Relationship Id="rId52" Type="http://schemas.openxmlformats.org/officeDocument/2006/relationships/hyperlink" Target="http://en.wikipedia.org/wiki/Chaos_theory" TargetMode="External"/><Relationship Id="rId60" Type="http://schemas.openxmlformats.org/officeDocument/2006/relationships/image" Target="media/image3.emf"/><Relationship Id="rId65" Type="http://schemas.openxmlformats.org/officeDocument/2006/relationships/image" Target="media/image8.png"/><Relationship Id="rId73" Type="http://schemas.openxmlformats.org/officeDocument/2006/relationships/image" Target="media/image16.png"/><Relationship Id="rId78" Type="http://schemas.openxmlformats.org/officeDocument/2006/relationships/hyperlink" Target="http://qbox.wharton.upenn.edu/documents/mktg/research/FAQ.pdf" TargetMode="External"/><Relationship Id="rId81" Type="http://schemas.openxmlformats.org/officeDocument/2006/relationships/hyperlink" Target="http://www.forecastingprinciples.com/index.php?option=com_content&amp;task=view&amp;id=3&amp;Itemid=3" TargetMode="External"/><Relationship Id="rId86" Type="http://schemas.openxmlformats.org/officeDocument/2006/relationships/hyperlink" Target="http://en.wikipedia.org/wiki/International_Standard_Book_Number" TargetMode="External"/><Relationship Id="rId4" Type="http://schemas.openxmlformats.org/officeDocument/2006/relationships/webSettings" Target="webSettings.xml"/><Relationship Id="rId9" Type="http://schemas.openxmlformats.org/officeDocument/2006/relationships/hyperlink" Target="http://en.wikipedia.org/wiki/Approxi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4195</TotalTime>
  <Pages>12</Pages>
  <Words>4142</Words>
  <Characters>23610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2019-01-19T11:31:00Z</dcterms:created>
  <dcterms:modified xsi:type="dcterms:W3CDTF">2019-03-21T10:38:00Z</dcterms:modified>
</cp:coreProperties>
</file>