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9453BE" w:rsidRDefault="009453BE" w:rsidP="00240B27">
      <w:pPr>
        <w:pStyle w:val="Heading1"/>
        <w:spacing w:before="0" w:line="240" w:lineRule="auto"/>
        <w:ind w:left="0"/>
        <w:rPr>
          <w:sz w:val="26"/>
        </w:rPr>
      </w:pPr>
      <w:r w:rsidRPr="009453BE">
        <w:rPr>
          <w:color w:val="337AB7"/>
          <w:sz w:val="26"/>
        </w:rPr>
        <w:t xml:space="preserve">Title: </w:t>
      </w:r>
      <w:r w:rsidR="00240B27">
        <w:rPr>
          <w:color w:val="337AB7"/>
          <w:sz w:val="26"/>
        </w:rPr>
        <w:t>Determination of the critical growth rate and growth temperature for group-III elements segregation using two exchanges kinetic model</w:t>
      </w:r>
    </w:p>
    <w:p w:rsidR="00AE3E37" w:rsidRPr="00240B27" w:rsidRDefault="00240B27" w:rsidP="00823609">
      <w:pPr>
        <w:pStyle w:val="BodyText"/>
        <w:spacing w:before="73" w:line="198" w:lineRule="exact"/>
        <w:ind w:left="100" w:right="5987"/>
        <w:rPr>
          <w:rFonts w:ascii="Arial" w:hAnsi="Arial" w:cs="Arial"/>
          <w:b/>
          <w:bCs/>
          <w:sz w:val="16"/>
          <w:szCs w:val="16"/>
        </w:rPr>
      </w:pPr>
      <w:r>
        <w:rPr>
          <w:rFonts w:ascii="Arial"/>
          <w:sz w:val="16"/>
        </w:rPr>
        <w:t>Vahid R Yazdanpanah, M</w:t>
      </w:r>
      <w:r w:rsidR="00823609">
        <w:rPr>
          <w:rFonts w:ascii="Arial"/>
          <w:sz w:val="16"/>
        </w:rPr>
        <w:t>ostafa</w:t>
      </w:r>
      <w:r>
        <w:rPr>
          <w:rFonts w:ascii="Arial"/>
          <w:sz w:val="16"/>
        </w:rPr>
        <w:t xml:space="preserve"> Arjomandi, Pouria Hosseinzadeh, Shabnam Dadgostar, and </w:t>
      </w:r>
      <w:r w:rsidRPr="00240B27">
        <w:rPr>
          <w:rFonts w:ascii="Arial"/>
          <w:sz w:val="16"/>
        </w:rPr>
        <w:t xml:space="preserve">Sattar </w:t>
      </w:r>
      <w:r w:rsidR="00823609">
        <w:rPr>
          <w:rFonts w:ascii="Arial" w:hAnsi="Arial" w:cs="Arial"/>
          <w:sz w:val="16"/>
          <w:szCs w:val="16"/>
        </w:rPr>
        <w:t>Mirzaku</w:t>
      </w:r>
      <w:r w:rsidRPr="00240B27">
        <w:rPr>
          <w:rFonts w:ascii="Arial" w:hAnsi="Arial" w:cs="Arial"/>
          <w:sz w:val="16"/>
          <w:szCs w:val="16"/>
        </w:rPr>
        <w:t xml:space="preserve">chaki, </w:t>
      </w:r>
      <w:r w:rsidRPr="00240B27">
        <w:rPr>
          <w:rStyle w:val="Strong"/>
          <w:rFonts w:ascii="Arial" w:hAnsi="Arial" w:cs="Arial"/>
          <w:b w:val="0"/>
          <w:bCs w:val="0"/>
          <w:sz w:val="16"/>
          <w:szCs w:val="16"/>
        </w:rPr>
        <w:t>School of Electrical Engineering</w:t>
      </w:r>
      <w:r w:rsidR="00786DD0">
        <w:rPr>
          <w:rStyle w:val="Strong"/>
          <w:rFonts w:ascii="Arial" w:hAnsi="Arial" w:cs="Arial"/>
          <w:b w:val="0"/>
          <w:bCs w:val="0"/>
          <w:sz w:val="16"/>
          <w:szCs w:val="16"/>
        </w:rPr>
        <w:t>,</w:t>
      </w:r>
      <w:r w:rsidRPr="00240B27">
        <w:rPr>
          <w:rStyle w:val="Strong"/>
          <w:rFonts w:ascii="Arial" w:hAnsi="Arial" w:cs="Arial"/>
          <w:b w:val="0"/>
          <w:bCs w:val="0"/>
          <w:sz w:val="16"/>
          <w:szCs w:val="16"/>
        </w:rPr>
        <w:t xml:space="preserve"> Iran Universit</w:t>
      </w:r>
      <w:r>
        <w:rPr>
          <w:rStyle w:val="Strong"/>
          <w:rFonts w:ascii="Arial" w:hAnsi="Arial" w:cs="Arial"/>
          <w:b w:val="0"/>
          <w:bCs w:val="0"/>
          <w:sz w:val="16"/>
          <w:szCs w:val="16"/>
        </w:rPr>
        <w:t>y of Science &amp; Technology(IUST)</w:t>
      </w:r>
      <w:r w:rsidRPr="00240B27">
        <w:rPr>
          <w:rStyle w:val="Strong"/>
          <w:rFonts w:ascii="Arial" w:hAnsi="Arial" w:cs="Arial"/>
          <w:b w:val="0"/>
          <w:bCs w:val="0"/>
          <w:sz w:val="16"/>
          <w:szCs w:val="16"/>
        </w:rPr>
        <w:t>, Tehran</w:t>
      </w:r>
      <w:r>
        <w:rPr>
          <w:rStyle w:val="Strong"/>
          <w:rFonts w:ascii="Arial" w:hAnsi="Arial" w:cs="Arial"/>
          <w:b w:val="0"/>
          <w:bCs w:val="0"/>
          <w:sz w:val="16"/>
          <w:szCs w:val="16"/>
        </w:rPr>
        <w:t>,</w:t>
      </w:r>
      <w:r w:rsidRPr="00240B27">
        <w:rPr>
          <w:rStyle w:val="Strong"/>
          <w:rFonts w:ascii="Arial" w:hAnsi="Arial" w:cs="Arial"/>
          <w:b w:val="0"/>
          <w:bCs w:val="0"/>
          <w:sz w:val="16"/>
          <w:szCs w:val="16"/>
        </w:rPr>
        <w:t xml:space="preserve"> Iran</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7"/>
          <w:footerReference w:type="default" r:id="rId8"/>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t>Abstract</w:t>
      </w:r>
    </w:p>
    <w:p w:rsidR="005909D3" w:rsidRDefault="005909D3" w:rsidP="00786DD0">
      <w:pPr>
        <w:pStyle w:val="BodyText"/>
        <w:spacing w:before="90" w:line="280" w:lineRule="auto"/>
        <w:ind w:left="100"/>
        <w:jc w:val="both"/>
        <w:rPr>
          <w:sz w:val="16"/>
        </w:rPr>
      </w:pPr>
      <w:r>
        <w:rPr>
          <w:sz w:val="16"/>
        </w:rPr>
        <w:t>High-performance optoelectronic devices such as lasers, light emitt</w:t>
      </w:r>
      <w:r w:rsidR="004D1C74">
        <w:rPr>
          <w:sz w:val="16"/>
        </w:rPr>
        <w:t>ing</w:t>
      </w:r>
      <w:r>
        <w:rPr>
          <w:sz w:val="16"/>
        </w:rPr>
        <w:t xml:space="preserve"> diodes (LED), solar cells, and detectors can be fabricated based on the complex quantum </w:t>
      </w:r>
      <w:r w:rsidR="003B00B2">
        <w:rPr>
          <w:sz w:val="16"/>
        </w:rPr>
        <w:t>structures</w:t>
      </w:r>
      <w:r>
        <w:rPr>
          <w:sz w:val="16"/>
        </w:rPr>
        <w:t xml:space="preserve"> of III-V semiconductors. Quantum structures such as quantum wells (QW), quantum dots (QD), and superlattices can be grown with high quality using molecular beam epitaxy (MBE). However, the interface composition abruptness is a challenge due to the surface atom intermixing. </w:t>
      </w:r>
      <w:r w:rsidR="003B00B2">
        <w:rPr>
          <w:sz w:val="16"/>
        </w:rPr>
        <w:t xml:space="preserve">The composition asymmetry in the quantum structures leads to the non-abrupt electronic band alignments that changes the optoelectronic </w:t>
      </w:r>
      <w:r w:rsidR="004D1C74">
        <w:rPr>
          <w:sz w:val="16"/>
        </w:rPr>
        <w:t xml:space="preserve">device </w:t>
      </w:r>
      <w:r w:rsidR="003B00B2">
        <w:rPr>
          <w:sz w:val="16"/>
        </w:rPr>
        <w:t>properties.</w:t>
      </w:r>
    </w:p>
    <w:p w:rsidR="005909D3" w:rsidRDefault="005909D3" w:rsidP="004D1C74">
      <w:pPr>
        <w:pStyle w:val="BodyText"/>
        <w:spacing w:before="90" w:line="280" w:lineRule="auto"/>
        <w:ind w:left="100"/>
        <w:jc w:val="both"/>
        <w:rPr>
          <w:sz w:val="16"/>
        </w:rPr>
      </w:pPr>
      <w:r>
        <w:rPr>
          <w:sz w:val="16"/>
        </w:rPr>
        <w:t>For the growth temperature below 600</w:t>
      </w:r>
      <w:r w:rsidRPr="005909D3">
        <w:rPr>
          <w:sz w:val="16"/>
          <w:vertAlign w:val="superscript"/>
        </w:rPr>
        <w:t>o</w:t>
      </w:r>
      <w:r>
        <w:rPr>
          <w:sz w:val="16"/>
        </w:rPr>
        <w:t xml:space="preserve">C, atomic arrangement in the crystal is determined by surface or near-surface processes and atoms cannot rearrange after burial. However, due to the surface mobility, atoms can displace on the growing surface. The increase of the surface mobility leads to the </w:t>
      </w:r>
      <w:r w:rsidR="004D1C74">
        <w:rPr>
          <w:sz w:val="16"/>
        </w:rPr>
        <w:t xml:space="preserve">reduction of </w:t>
      </w:r>
      <w:r>
        <w:rPr>
          <w:sz w:val="16"/>
        </w:rPr>
        <w:t>the growth defects; however, it may cause the so-called “surface segregation</w:t>
      </w:r>
      <w:r w:rsidR="004D1C74">
        <w:rPr>
          <w:sz w:val="16"/>
        </w:rPr>
        <w:t>”</w:t>
      </w:r>
      <w:r>
        <w:rPr>
          <w:sz w:val="16"/>
        </w:rPr>
        <w:t xml:space="preserve"> that is the exchange between the sub-layer atoms with the impinging </w:t>
      </w:r>
      <w:r w:rsidR="003B00B2">
        <w:rPr>
          <w:sz w:val="16"/>
        </w:rPr>
        <w:t xml:space="preserve">atoms on the growing surface. Surface segregation of atoms is driven by the differences in their binding and elastic energies. Several experimental and theoretical studies indicate that the group III atoms with weaker bond strength segregate to the surface, and therefore, it is expected to see more segregation for </w:t>
      </w:r>
      <w:proofErr w:type="gramStart"/>
      <w:r w:rsidR="003B00B2">
        <w:rPr>
          <w:sz w:val="16"/>
        </w:rPr>
        <w:t>In</w:t>
      </w:r>
      <w:proofErr w:type="gramEnd"/>
      <w:r w:rsidR="003B00B2">
        <w:rPr>
          <w:sz w:val="16"/>
        </w:rPr>
        <w:t xml:space="preserve"> atoms in comparison with Ga Atoms for similar growth conditions.  Experimental results on the well known InGaAs/GaAs system show an Indium surface enrichment</w:t>
      </w:r>
      <w:r w:rsidR="004D1C74">
        <w:rPr>
          <w:sz w:val="16"/>
        </w:rPr>
        <w:t xml:space="preserve"> due to </w:t>
      </w:r>
      <w:proofErr w:type="gramStart"/>
      <w:r w:rsidR="004D1C74">
        <w:rPr>
          <w:sz w:val="16"/>
        </w:rPr>
        <w:t>In</w:t>
      </w:r>
      <w:proofErr w:type="gramEnd"/>
      <w:r w:rsidR="004D1C74">
        <w:rPr>
          <w:sz w:val="16"/>
        </w:rPr>
        <w:t xml:space="preserve"> segregation</w:t>
      </w:r>
      <w:r w:rsidR="003B00B2">
        <w:rPr>
          <w:sz w:val="16"/>
        </w:rPr>
        <w:t xml:space="preserve">. A similar behavior has been observed for </w:t>
      </w:r>
      <w:proofErr w:type="gramStart"/>
      <w:r w:rsidR="003B00B2">
        <w:rPr>
          <w:sz w:val="16"/>
        </w:rPr>
        <w:t>In</w:t>
      </w:r>
      <w:proofErr w:type="gramEnd"/>
      <w:r w:rsidR="003B00B2">
        <w:rPr>
          <w:sz w:val="16"/>
        </w:rPr>
        <w:t xml:space="preserve"> atoms surface segregation in InGaAs QDs embedded in GaP matrix. </w:t>
      </w:r>
      <w:r>
        <w:rPr>
          <w:sz w:val="16"/>
        </w:rPr>
        <w:t xml:space="preserve"> </w:t>
      </w:r>
    </w:p>
    <w:p w:rsidR="00BA68FC" w:rsidRPr="009453BE" w:rsidRDefault="00786DD0" w:rsidP="00BA68FC">
      <w:pPr>
        <w:pStyle w:val="BodyText"/>
        <w:spacing w:before="90" w:line="280" w:lineRule="auto"/>
        <w:ind w:left="100"/>
        <w:jc w:val="both"/>
        <w:rPr>
          <w:sz w:val="16"/>
        </w:rPr>
      </w:pPr>
      <w:r>
        <w:rPr>
          <w:sz w:val="16"/>
        </w:rPr>
        <w:t xml:space="preserve">We studied the concentration profile of the group-III atoms for different growth parameters using the two </w:t>
      </w:r>
      <w:r w:rsidR="003B00B2">
        <w:rPr>
          <w:sz w:val="16"/>
        </w:rPr>
        <w:t>exchanges</w:t>
      </w:r>
      <w:r>
        <w:rPr>
          <w:sz w:val="16"/>
        </w:rPr>
        <w:t xml:space="preserve"> kinetic model and determined the critical growth temperature and growth rate regions for the growth of structures with less than 10%</w:t>
      </w:r>
      <w:r w:rsidR="00986800">
        <w:rPr>
          <w:sz w:val="16"/>
        </w:rPr>
        <w:t xml:space="preserve"> segregation of </w:t>
      </w:r>
      <w:r w:rsidR="003B00B2">
        <w:rPr>
          <w:sz w:val="16"/>
        </w:rPr>
        <w:t>group</w:t>
      </w:r>
      <w:r w:rsidR="00986800">
        <w:rPr>
          <w:sz w:val="16"/>
        </w:rPr>
        <w:t xml:space="preserve">-III atoms. </w:t>
      </w:r>
      <w:r w:rsidR="00BA68FC">
        <w:rPr>
          <w:sz w:val="16"/>
        </w:rPr>
        <w:t xml:space="preserve">For instance, Figure 1 illustrates the growth rate and the growth temperature regions for InAs/GaAs and GaAs/AlAs heterostructures, in which the segregation rate is less than 10%. The kinetic model results </w:t>
      </w:r>
      <w:r w:rsidR="004D1C74">
        <w:rPr>
          <w:sz w:val="16"/>
        </w:rPr>
        <w:t xml:space="preserve">also </w:t>
      </w:r>
      <w:r w:rsidR="00BA68FC">
        <w:rPr>
          <w:sz w:val="16"/>
        </w:rPr>
        <w:t>imply that the growth temperature threshold for segregation of Ga-atoms at the normal interface into the next AlAs layer occurs at higher temperature in comparison with the In-atoms segregation into the adjacent GaAs layer.</w:t>
      </w:r>
    </w:p>
    <w:p w:rsidR="00AE3E37" w:rsidRPr="009453BE" w:rsidRDefault="00A9710C">
      <w:pPr>
        <w:pStyle w:val="Heading3"/>
        <w:spacing w:before="74"/>
        <w:rPr>
          <w:sz w:val="18"/>
        </w:rPr>
      </w:pPr>
      <w:r w:rsidRPr="009453BE">
        <w:rPr>
          <w:b w:val="0"/>
          <w:sz w:val="18"/>
        </w:rPr>
        <w:br w:type="column"/>
      </w:r>
      <w:r w:rsidRPr="009453BE">
        <w:rPr>
          <w:color w:val="BF5A14"/>
          <w:sz w:val="18"/>
        </w:rPr>
        <w:t>Image</w:t>
      </w:r>
    </w:p>
    <w:p w:rsidR="00AE3E37" w:rsidRDefault="00BA68FC" w:rsidP="00BA68FC">
      <w:pPr>
        <w:pStyle w:val="BodyText"/>
        <w:spacing w:before="2"/>
        <w:jc w:val="center"/>
        <w:rPr>
          <w:rFonts w:ascii="Arial"/>
          <w:b/>
          <w:sz w:val="14"/>
        </w:rPr>
      </w:pPr>
      <w:r w:rsidRPr="00BA68FC">
        <w:rPr>
          <w:rFonts w:ascii="Arial"/>
          <w:b/>
          <w:noProof/>
          <w:sz w:val="14"/>
        </w:rPr>
        <w:drawing>
          <wp:inline distT="0" distB="0" distL="0" distR="0">
            <wp:extent cx="2961043" cy="292848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4495" cy="2941784"/>
                    </a:xfrm>
                    <a:prstGeom prst="rect">
                      <a:avLst/>
                    </a:prstGeom>
                    <a:noFill/>
                    <a:ln>
                      <a:noFill/>
                    </a:ln>
                  </pic:spPr>
                </pic:pic>
              </a:graphicData>
            </a:graphic>
          </wp:inline>
        </w:drawing>
      </w:r>
    </w:p>
    <w:p w:rsidR="00BA68FC" w:rsidRPr="00BA68FC" w:rsidRDefault="00BA68FC" w:rsidP="00BA68FC">
      <w:pPr>
        <w:pStyle w:val="BodyText"/>
        <w:spacing w:before="2"/>
        <w:jc w:val="both"/>
        <w:rPr>
          <w:bCs/>
          <w:sz w:val="16"/>
          <w:szCs w:val="16"/>
        </w:rPr>
      </w:pPr>
      <w:r w:rsidRPr="00BA68FC">
        <w:rPr>
          <w:bCs/>
          <w:sz w:val="16"/>
          <w:szCs w:val="16"/>
        </w:rPr>
        <w:t>Figure 1. Critical growth rate and growth temperature regions for the In and Ga segregation rate &lt;10% in InAs/GaAs (red region) and GaAs/AlAs (</w:t>
      </w:r>
      <w:proofErr w:type="spellStart"/>
      <w:r w:rsidRPr="00BA68FC">
        <w:rPr>
          <w:bCs/>
          <w:sz w:val="16"/>
          <w:szCs w:val="16"/>
        </w:rPr>
        <w:t>red+blue</w:t>
      </w:r>
      <w:proofErr w:type="spellEnd"/>
      <w:r w:rsidRPr="00BA68FC">
        <w:rPr>
          <w:bCs/>
          <w:sz w:val="16"/>
          <w:szCs w:val="16"/>
        </w:rPr>
        <w:t xml:space="preserve"> regions), respectively. To grow heterostructures with less than 10% segregation rate, it seems the growth rate need to be increases with increasing the growth temperature.  </w:t>
      </w:r>
    </w:p>
    <w:p w:rsidR="005973B9" w:rsidRPr="009453BE" w:rsidRDefault="009453BE" w:rsidP="00BA68FC">
      <w:pPr>
        <w:spacing w:line="204" w:lineRule="exact"/>
        <w:rPr>
          <w:rFonts w:ascii="Calibri" w:hAnsi="Calibri"/>
          <w:sz w:val="16"/>
        </w:rPr>
      </w:pPr>
      <w:r w:rsidRPr="009453BE">
        <w:rPr>
          <w:rFonts w:ascii="Arial"/>
          <w:b/>
          <w:color w:val="BF5A14"/>
          <w:sz w:val="18"/>
        </w:rPr>
        <w:br/>
      </w:r>
    </w:p>
    <w:p w:rsidR="00AE3E37" w:rsidRPr="009453BE" w:rsidRDefault="00AE3E37">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F24C92" w:rsidRDefault="008756E6" w:rsidP="00404E5B">
      <w:pPr>
        <w:spacing w:before="92"/>
        <w:ind w:right="4234"/>
        <w:rPr>
          <w:noProof/>
          <w:sz w:val="20"/>
        </w:rPr>
        <w:sectPr w:rsidR="00F24C92" w:rsidSect="00CD6F55">
          <w:type w:val="continuous"/>
          <w:pgSz w:w="11910" w:h="16840"/>
          <w:pgMar w:top="1740" w:right="580" w:bottom="840" w:left="620" w:header="720" w:footer="720" w:gutter="0"/>
          <w:cols w:num="2" w:space="720" w:equalWidth="0">
            <w:col w:w="5214" w:space="138"/>
            <w:col w:w="5358"/>
          </w:cols>
        </w:sectPr>
      </w:pPr>
      <w:r w:rsidRPr="009453BE">
        <w:rPr>
          <w:noProof/>
          <w:sz w:val="20"/>
        </w:rPr>
        <w:t xml:space="preserve">              </w:t>
      </w:r>
    </w:p>
    <w:p w:rsidR="00AE3E37" w:rsidRPr="009453BE" w:rsidRDefault="00F24C92" w:rsidP="00F24C92">
      <w:pPr>
        <w:spacing w:before="92"/>
        <w:ind w:right="4234"/>
        <w:rPr>
          <w:rFonts w:ascii="Arial"/>
          <w:sz w:val="20"/>
        </w:rPr>
      </w:pPr>
      <w:r>
        <w:rPr>
          <w:noProof/>
        </w:rPr>
        <w:drawing>
          <wp:inline distT="0" distB="0" distL="0" distR="0">
            <wp:extent cx="499110" cy="532263"/>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887" b="18154"/>
                    <a:stretch/>
                  </pic:blipFill>
                  <pic:spPr bwMode="auto">
                    <a:xfrm>
                      <a:off x="0" y="0"/>
                      <a:ext cx="518592" cy="553039"/>
                    </a:xfrm>
                    <a:prstGeom prst="rect">
                      <a:avLst/>
                    </a:prstGeom>
                    <a:noFill/>
                    <a:ln>
                      <a:noFill/>
                    </a:ln>
                    <a:extLst>
                      <a:ext uri="{53640926-AAD7-44D8-BBD7-CCE9431645EC}">
                        <a14:shadowObscured xmlns:a14="http://schemas.microsoft.com/office/drawing/2010/main"/>
                      </a:ext>
                    </a:extLst>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w:t>
      </w:r>
    </w:p>
    <w:p w:rsidR="009C08F4" w:rsidRDefault="009C08F4" w:rsidP="00033B95">
      <w:pPr>
        <w:spacing w:before="41" w:line="154" w:lineRule="exact"/>
        <w:ind w:left="213" w:right="231"/>
        <w:rPr>
          <w:rFonts w:ascii="Arial"/>
          <w:sz w:val="12"/>
        </w:rPr>
      </w:pPr>
      <w:r>
        <w:rPr>
          <w:rFonts w:ascii="Arial"/>
          <w:sz w:val="12"/>
        </w:rPr>
        <w:t xml:space="preserve">Vahid R. Yazdanpanah has more than 17 years industry and academic experience with III-V material growth and fabrication. His Ph.D. is in </w:t>
      </w:r>
      <w:proofErr w:type="spellStart"/>
      <w:r>
        <w:rPr>
          <w:rFonts w:ascii="Arial"/>
          <w:sz w:val="12"/>
        </w:rPr>
        <w:t>MicroElectronics</w:t>
      </w:r>
      <w:proofErr w:type="spellEnd"/>
      <w:r>
        <w:rPr>
          <w:rFonts w:ascii="Arial"/>
          <w:sz w:val="12"/>
        </w:rPr>
        <w:t xml:space="preserve">-Photonics </w:t>
      </w:r>
      <w:r w:rsidR="00033B95">
        <w:rPr>
          <w:rFonts w:ascii="Arial"/>
          <w:sz w:val="12"/>
        </w:rPr>
        <w:t>from UARK, USA. Then for few years he was working on optoelectronic devices in Center for Q</w:t>
      </w:r>
      <w:bookmarkStart w:id="0" w:name="_GoBack"/>
      <w:bookmarkEnd w:id="0"/>
      <w:r w:rsidR="00033B95">
        <w:rPr>
          <w:rFonts w:ascii="Arial"/>
          <w:sz w:val="12"/>
        </w:rPr>
        <w:t>uantum Devices</w:t>
      </w:r>
      <w:r w:rsidR="002E1220" w:rsidRPr="002E1220">
        <w:rPr>
          <w:rFonts w:ascii="Arial"/>
          <w:sz w:val="12"/>
        </w:rPr>
        <w:t xml:space="preserve"> </w:t>
      </w:r>
      <w:r w:rsidR="002E1220">
        <w:rPr>
          <w:rFonts w:ascii="Arial"/>
          <w:sz w:val="12"/>
        </w:rPr>
        <w:t>in Northwestern University, USA</w:t>
      </w:r>
      <w:r w:rsidR="00033B95">
        <w:rPr>
          <w:rFonts w:ascii="Arial"/>
          <w:sz w:val="12"/>
        </w:rPr>
        <w:t>. Then, f</w:t>
      </w:r>
      <w:r>
        <w:rPr>
          <w:rFonts w:ascii="Arial"/>
          <w:sz w:val="12"/>
        </w:rPr>
        <w:t xml:space="preserve">or about 10 year, he was working in Agilent Technologies, focusing on developing many novel manufacturing semiconductor devices such as GaAs and </w:t>
      </w:r>
      <w:proofErr w:type="spellStart"/>
      <w:r>
        <w:rPr>
          <w:rFonts w:ascii="Arial"/>
          <w:sz w:val="12"/>
        </w:rPr>
        <w:t>InP</w:t>
      </w:r>
      <w:proofErr w:type="spellEnd"/>
      <w:r>
        <w:rPr>
          <w:rFonts w:ascii="Arial"/>
          <w:sz w:val="12"/>
        </w:rPr>
        <w:t xml:space="preserve"> HBT and HEMT. He </w:t>
      </w:r>
      <w:r w:rsidR="002E1220">
        <w:rPr>
          <w:rFonts w:ascii="Arial"/>
          <w:sz w:val="12"/>
        </w:rPr>
        <w:t xml:space="preserve">received </w:t>
      </w:r>
      <w:r>
        <w:rPr>
          <w:rFonts w:ascii="Arial"/>
          <w:sz w:val="12"/>
        </w:rPr>
        <w:t xml:space="preserve">the Agilent Tech High Frequency Tech Center award in 2010 for the best innovation.  </w:t>
      </w:r>
    </w:p>
    <w:p w:rsidR="00AE3E37" w:rsidRPr="009453BE" w:rsidRDefault="009453BE" w:rsidP="009453BE">
      <w:pPr>
        <w:spacing w:before="41" w:line="154" w:lineRule="exact"/>
        <w:ind w:left="213" w:right="231"/>
        <w:rPr>
          <w:rFonts w:ascii="Arial"/>
          <w:sz w:val="12"/>
        </w:rPr>
      </w:pPr>
      <w:r>
        <w:rPr>
          <w:rFonts w:ascii="Arial"/>
          <w:sz w:val="12"/>
        </w:rPr>
        <w:br/>
      </w:r>
    </w:p>
    <w:p w:rsidR="009453BE" w:rsidRDefault="009453BE" w:rsidP="009453BE">
      <w:pPr>
        <w:ind w:right="4235"/>
        <w:rPr>
          <w:rFonts w:ascii="Arial"/>
          <w:sz w:val="12"/>
        </w:rPr>
      </w:pPr>
      <w:r>
        <w:rPr>
          <w:rFonts w:ascii="Arial"/>
          <w:sz w:val="12"/>
        </w:rPr>
        <w:t>Name:</w:t>
      </w:r>
      <w:r w:rsidR="00033B95">
        <w:rPr>
          <w:rFonts w:ascii="Arial"/>
          <w:sz w:val="12"/>
        </w:rPr>
        <w:t xml:space="preserve"> Vahid R. Yazdanpanah</w:t>
      </w:r>
    </w:p>
    <w:p w:rsidR="00AE3E37" w:rsidRDefault="00A9710C" w:rsidP="009453BE">
      <w:pPr>
        <w:ind w:right="4235"/>
        <w:rPr>
          <w:rStyle w:val="Hyperlink"/>
          <w:rFonts w:ascii="Arial"/>
          <w:sz w:val="12"/>
        </w:rPr>
      </w:pPr>
      <w:r w:rsidRPr="009453BE">
        <w:rPr>
          <w:rFonts w:ascii="Arial"/>
          <w:sz w:val="12"/>
        </w:rPr>
        <w:t xml:space="preserve">Email: </w:t>
      </w:r>
      <w:r w:rsidR="00033B95">
        <w:rPr>
          <w:rFonts w:ascii="Arial"/>
          <w:sz w:val="12"/>
        </w:rPr>
        <w:t>yazdanv</w:t>
      </w:r>
      <w:r w:rsidR="008756E6" w:rsidRPr="009453BE">
        <w:rPr>
          <w:rFonts w:ascii="Arial"/>
          <w:sz w:val="12"/>
        </w:rPr>
        <w:t>@</w:t>
      </w:r>
      <w:r w:rsidR="00033B95">
        <w:rPr>
          <w:rFonts w:ascii="Arial"/>
          <w:sz w:val="12"/>
        </w:rPr>
        <w:t>iust.ac.ir</w:t>
      </w:r>
    </w:p>
    <w:p w:rsidR="009453BE" w:rsidRPr="009453BE" w:rsidRDefault="009453BE" w:rsidP="009453BE">
      <w:pPr>
        <w:ind w:right="4235"/>
        <w:rPr>
          <w:rFonts w:ascii="Arial"/>
          <w:sz w:val="12"/>
        </w:rPr>
      </w:pPr>
      <w:r w:rsidRPr="009453BE">
        <w:rPr>
          <w:rFonts w:ascii="Arial"/>
          <w:sz w:val="12"/>
        </w:rPr>
        <w:t xml:space="preserve">Phone Number: </w:t>
      </w:r>
      <w:r w:rsidR="00033B95">
        <w:rPr>
          <w:rFonts w:ascii="Arial"/>
          <w:sz w:val="12"/>
        </w:rPr>
        <w:t>+989013179273</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201524282R,28 MAXWELL ROAD, #03-05 RED DOT TRAFFIC, SINGAPORE</w:t>
      </w:r>
    </w:p>
    <w:p w:rsidR="006B0384" w:rsidRPr="009453BE" w:rsidRDefault="006B0384" w:rsidP="0071745E">
      <w:pPr>
        <w:ind w:right="1488"/>
        <w:rPr>
          <w:sz w:val="14"/>
        </w:rPr>
      </w:pPr>
      <w:r w:rsidRPr="009453BE">
        <w:rPr>
          <w:color w:val="585858"/>
          <w:sz w:val="18"/>
        </w:rPr>
        <w:t xml:space="preserve">Web: </w:t>
      </w:r>
      <w:hyperlink r:id="rId11" w:history="1">
        <w:r w:rsidRPr="009453BE">
          <w:rPr>
            <w:rStyle w:val="Hyperlink"/>
            <w:sz w:val="18"/>
          </w:rPr>
          <w:t>https://www.meetingsint.com/conferences/mechatronics</w:t>
        </w:r>
      </w:hyperlink>
    </w:p>
    <w:p w:rsidR="0071745E" w:rsidRDefault="006B0384" w:rsidP="0071745E">
      <w:pPr>
        <w:ind w:right="1488"/>
        <w:rPr>
          <w:color w:val="585858"/>
          <w:sz w:val="18"/>
        </w:rPr>
      </w:pPr>
      <w:r w:rsidRPr="009453BE">
        <w:rPr>
          <w:color w:val="585858"/>
          <w:sz w:val="18"/>
        </w:rPr>
        <w:t xml:space="preserve">E-mail: </w:t>
      </w:r>
      <w:hyperlink r:id="rId12" w:history="1">
        <w:r w:rsidRPr="009453BE">
          <w:rPr>
            <w:rStyle w:val="Hyperlink"/>
            <w:sz w:val="18"/>
          </w:rPr>
          <w:t>Mechatronics@annualmeetings.net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3" w:tooltip="contact number" w:history="1">
        <w:r w:rsidRPr="009453BE">
          <w:rPr>
            <w:rStyle w:val="Hyperlink"/>
            <w:sz w:val="18"/>
          </w:rPr>
          <w:t>+6531080483</w:t>
        </w:r>
      </w:hyperlink>
    </w:p>
    <w:p w:rsidR="00AE3E37" w:rsidRPr="009453BE" w:rsidRDefault="006B0384" w:rsidP="00F24C92">
      <w:pPr>
        <w:pStyle w:val="BodyText"/>
        <w:rPr>
          <w:rFonts w:ascii="Minion Pro"/>
          <w:sz w:val="24"/>
        </w:rPr>
      </w:pPr>
      <w:r w:rsidRPr="009453BE">
        <w:rPr>
          <w:color w:val="585858"/>
          <w:sz w:val="14"/>
        </w:rPr>
        <w:t>Copyright © 2016-2018 Meetings Int PTE Ltd, All Rights Reser</w:t>
      </w:r>
      <w:r w:rsidR="003A3063">
        <w:rPr>
          <w:color w:val="585858"/>
          <w:sz w:val="14"/>
        </w:rPr>
        <w:t>ved.</w:t>
      </w:r>
    </w:p>
    <w:sectPr w:rsidR="00AE3E37" w:rsidRPr="009453BE" w:rsidSect="00F24C92">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6230" w:rsidRDefault="007E6230">
      <w:r>
        <w:separator/>
      </w:r>
    </w:p>
  </w:endnote>
  <w:endnote w:type="continuationSeparator" w:id="0">
    <w:p w:rsidR="007E6230" w:rsidRDefault="007E6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2C3AC28" wp14:editId="77B033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3AC2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26BB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1318F19" wp14:editId="554B73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18F1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6230" w:rsidRDefault="007E6230">
      <w:r>
        <w:separator/>
      </w:r>
    </w:p>
  </w:footnote>
  <w:footnote w:type="continuationSeparator" w:id="0">
    <w:p w:rsidR="007E6230" w:rsidRDefault="007E6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0384" w:rsidRPr="00AD4DA3" w:rsidRDefault="006B0384" w:rsidP="006B0384">
    <w:pPr>
      <w:pStyle w:val="Header"/>
      <w:tabs>
        <w:tab w:val="clear" w:pos="4513"/>
        <w:tab w:val="clear" w:pos="9026"/>
        <w:tab w:val="left" w:pos="2905"/>
      </w:tabs>
      <w:rPr>
        <w:color w:val="365F91" w:themeColor="accent1" w:themeShade="BF"/>
      </w:rPr>
    </w:pPr>
    <w:r>
      <w:rPr>
        <w:noProof/>
      </w:rPr>
      <w:drawing>
        <wp:anchor distT="0" distB="0" distL="114300" distR="114300" simplePos="0" relativeHeight="503314024" behindDoc="1" locked="0" layoutInCell="1" allowOverlap="1" wp14:anchorId="54CC9580" wp14:editId="47902EA9">
          <wp:simplePos x="0" y="0"/>
          <wp:positionH relativeFrom="column">
            <wp:posOffset>-1905</wp:posOffset>
          </wp:positionH>
          <wp:positionV relativeFrom="paragraph">
            <wp:posOffset>-321945</wp:posOffset>
          </wp:positionV>
          <wp:extent cx="1503045" cy="635635"/>
          <wp:effectExtent l="0" t="0" r="1905" b="0"/>
          <wp:wrapTight wrapText="bothSides">
            <wp:wrapPolygon edited="0">
              <wp:start x="821" y="0"/>
              <wp:lineTo x="548" y="1942"/>
              <wp:lineTo x="274" y="16184"/>
              <wp:lineTo x="6570" y="20068"/>
              <wp:lineTo x="14236" y="20715"/>
              <wp:lineTo x="15878" y="20715"/>
              <wp:lineTo x="20532" y="20068"/>
              <wp:lineTo x="21354" y="18773"/>
              <wp:lineTo x="21354" y="9063"/>
              <wp:lineTo x="16700" y="5826"/>
              <wp:lineTo x="6570" y="0"/>
              <wp:lineTo x="82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eetings-internatio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3045" cy="635635"/>
                  </a:xfrm>
                  <a:prstGeom prst="rect">
                    <a:avLst/>
                  </a:prstGeom>
                </pic:spPr>
              </pic:pic>
            </a:graphicData>
          </a:graphic>
          <wp14:sizeRelH relativeFrom="page">
            <wp14:pctWidth>0</wp14:pctWidth>
          </wp14:sizeRelH>
          <wp14:sizeRelV relativeFrom="page">
            <wp14:pctHeight>0</wp14:pctHeight>
          </wp14:sizeRelV>
        </wp:anchor>
      </w:drawing>
    </w:r>
    <w:r>
      <w:tab/>
    </w:r>
    <w:r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Pr="00AD4DA3">
      <w:rPr>
        <w:color w:val="365F91" w:themeColor="accent1" w:themeShade="BF"/>
        <w:sz w:val="56"/>
      </w:rPr>
      <w:t>Mechatronics, Automation and Systems Engineering</w:t>
    </w:r>
  </w:p>
  <w:p w:rsidR="006B0384" w:rsidRPr="00AD4DA3" w:rsidRDefault="006B0384"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sidRPr="00AD4DA3">
      <w:rPr>
        <w:color w:val="365F91" w:themeColor="accent1" w:themeShade="BF"/>
        <w:sz w:val="24"/>
      </w:rPr>
      <w:t>November 28-29, Tokyo | Japan</w:t>
    </w:r>
  </w:p>
  <w:p w:rsidR="006B0384" w:rsidRDefault="006B0384" w:rsidP="006B0384">
    <w:pPr>
      <w:pStyle w:val="Header"/>
    </w:pPr>
    <w:r>
      <w:rPr>
        <w:noProof/>
        <w:color w:val="4F81BD" w:themeColor="accent1"/>
        <w:sz w:val="24"/>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035CCF"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D2940B2" wp14:editId="62A3D66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940B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5E91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179D6"/>
    <w:rsid w:val="00033B95"/>
    <w:rsid w:val="000E2911"/>
    <w:rsid w:val="001263DF"/>
    <w:rsid w:val="002402E2"/>
    <w:rsid w:val="00240B27"/>
    <w:rsid w:val="002455EC"/>
    <w:rsid w:val="00292ED9"/>
    <w:rsid w:val="002E1220"/>
    <w:rsid w:val="003A3063"/>
    <w:rsid w:val="003B00B2"/>
    <w:rsid w:val="00404E5B"/>
    <w:rsid w:val="00414DC9"/>
    <w:rsid w:val="00414F7B"/>
    <w:rsid w:val="004355DC"/>
    <w:rsid w:val="004749B4"/>
    <w:rsid w:val="00494130"/>
    <w:rsid w:val="004D1C74"/>
    <w:rsid w:val="004F3523"/>
    <w:rsid w:val="005412B2"/>
    <w:rsid w:val="005909D3"/>
    <w:rsid w:val="005973B9"/>
    <w:rsid w:val="005B3A56"/>
    <w:rsid w:val="005D0DE7"/>
    <w:rsid w:val="006060CE"/>
    <w:rsid w:val="0063497F"/>
    <w:rsid w:val="006B0384"/>
    <w:rsid w:val="0071745E"/>
    <w:rsid w:val="007325F9"/>
    <w:rsid w:val="00786DD0"/>
    <w:rsid w:val="007E6230"/>
    <w:rsid w:val="00823609"/>
    <w:rsid w:val="00833475"/>
    <w:rsid w:val="00873DF0"/>
    <w:rsid w:val="008756E6"/>
    <w:rsid w:val="008A08B6"/>
    <w:rsid w:val="009453BE"/>
    <w:rsid w:val="00986800"/>
    <w:rsid w:val="009B2D44"/>
    <w:rsid w:val="009C08F4"/>
    <w:rsid w:val="00A0079B"/>
    <w:rsid w:val="00A07E82"/>
    <w:rsid w:val="00A9710C"/>
    <w:rsid w:val="00AE3E37"/>
    <w:rsid w:val="00B21A57"/>
    <w:rsid w:val="00BA68FC"/>
    <w:rsid w:val="00C33602"/>
    <w:rsid w:val="00CD6F55"/>
    <w:rsid w:val="00DE3104"/>
    <w:rsid w:val="00E26B10"/>
    <w:rsid w:val="00EA2AFD"/>
    <w:rsid w:val="00F24C9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57EEE"/>
  <w15:docId w15:val="{AF316307-20E5-4360-B364-5CC1EA476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240B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tel:+6531080483"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echatronics@annualmeeting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etingsint.com/conferences/mechatronic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1047</TotalTime>
  <Pages>1</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iust</cp:lastModifiedBy>
  <cp:revision>12</cp:revision>
  <dcterms:created xsi:type="dcterms:W3CDTF">2018-07-28T13:02:00Z</dcterms:created>
  <dcterms:modified xsi:type="dcterms:W3CDTF">2018-07-29T07:53:00Z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