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D352FC" w:rsidP="00494130">
      <w:pPr>
        <w:pStyle w:val="1"/>
        <w:spacing w:before="170"/>
        <w:ind w:left="0"/>
      </w:pPr>
      <w:r>
        <w:rPr>
          <w:color w:val="337AB7"/>
        </w:rPr>
        <w:t>Stereolithographic Additive Manufacturing of Ceramic Components with Functionally Modulated Geometry</w:t>
      </w:r>
    </w:p>
    <w:p w:rsidR="005973B9" w:rsidRDefault="00D352FC" w:rsidP="005973B9">
      <w:pPr>
        <w:pStyle w:val="a3"/>
        <w:spacing w:before="73" w:line="198" w:lineRule="exact"/>
        <w:ind w:left="100" w:right="5987"/>
        <w:rPr>
          <w:rFonts w:ascii="Arial"/>
        </w:rPr>
      </w:pPr>
      <w:r>
        <w:rPr>
          <w:rFonts w:ascii="Arial"/>
        </w:rPr>
        <w:t>Soshu Kirihara, Osaka University,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7444D6" w:rsidRDefault="007444D6" w:rsidP="00222196">
      <w:pPr>
        <w:pStyle w:val="a3"/>
        <w:spacing w:line="281" w:lineRule="auto"/>
        <w:ind w:left="102"/>
        <w:jc w:val="both"/>
      </w:pPr>
      <w:r w:rsidRPr="007444D6">
        <w:t>In stereolithographic additive manufacturing (STL-AM)</w:t>
      </w:r>
      <w:r>
        <w:t xml:space="preserve"> processes</w:t>
      </w:r>
      <w:r w:rsidRPr="007444D6">
        <w:t xml:space="preserve">, 2-D cross sections were created minutely through photo polymerization by </w:t>
      </w:r>
      <w:r w:rsidR="00D352FC">
        <w:t>ultraviolet (</w:t>
      </w:r>
      <w:r w:rsidRPr="007444D6">
        <w:t>UV</w:t>
      </w:r>
      <w:r w:rsidR="00D352FC">
        <w:t>)</w:t>
      </w:r>
      <w:r w:rsidRPr="007444D6">
        <w:t xml:space="preserve"> laser drawing on spread resin paste including ceramic nanoparticles, and 3-D models were sterically printed by layer lamination as shown in Fig. 1 [1-3]. In this investigation, solid electrolyte dendrites of yttria-stabilized zirconia (YSZ) with spatially ordered pores were processed for fuel cell miniaturization. Subsequently, ceramic sheets of lithium-lanthanum-titanate (LLT) with micro emboss patterns were developed for all-solid batteries. Designed models with intended 3-D structures were converted into the stereolithography (STL) file format through polyhedral approximations and sliced into a series of 2-D layers. The slicing pitches were defined as 50 </w:t>
      </w:r>
      <w:r w:rsidRPr="007444D6">
        <w:rPr>
          <w:rFonts w:ascii="Calibri" w:hAnsi="Calibri" w:cs="Calibri"/>
        </w:rPr>
        <w:t>μ</w:t>
      </w:r>
      <w:r w:rsidRPr="007444D6">
        <w:t>m for laser scanning stereo</w:t>
      </w:r>
      <w:r>
        <w:rPr>
          <w:rFonts w:eastAsiaTheme="minorEastAsia" w:hint="eastAsia"/>
          <w:lang w:eastAsia="ja-JP"/>
        </w:rPr>
        <w:t>-</w:t>
      </w:r>
      <w:r w:rsidRPr="007444D6">
        <w:t>lithography. The numerical data were transferred into each stereo</w:t>
      </w:r>
      <w:r>
        <w:t>-</w:t>
      </w:r>
      <w:r w:rsidRPr="007444D6">
        <w:t xml:space="preserve">lithographic system to create raster patterns for laser scanning. The lithographic system has been developed to obtain bulky ceramic components with functional geometries. An automatic collimeter was newly equipped with the laser scanner to adjust beam diameter. Fine or coarse beams could realize high resolution or wide area drawings, respectively. As the row material of the 3-D printing, nanometer sized ceramic particles were dispersed in to acrylic liquid resins at 50 % in volume fraction. These materials were mixed and deformed to obtained thixotropic slurry for 15 min at 700 and 300 rpm of rotation and </w:t>
      </w:r>
      <w:r w:rsidRPr="007444D6">
        <w:t xml:space="preserve">revolution speeds, respectively. The resin paste was spread on a glass substrate at 100 </w:t>
      </w:r>
      <w:r w:rsidRPr="007444D6">
        <w:rPr>
          <w:rFonts w:ascii="Calibri" w:hAnsi="Calibri" w:cs="Calibri"/>
        </w:rPr>
        <w:t>μ</w:t>
      </w:r>
      <w:r w:rsidRPr="007444D6">
        <w:t xml:space="preserve">m in layer thickness by a mechanically moved knife edge. An ultraviolet laser beam of 355 nm in wavelength was adjusted at 50 </w:t>
      </w:r>
      <w:r w:rsidRPr="007444D6">
        <w:rPr>
          <w:rFonts w:ascii="Calibri" w:hAnsi="Calibri" w:cs="Calibri"/>
        </w:rPr>
        <w:t>μ</w:t>
      </w:r>
      <w:r w:rsidRPr="007444D6">
        <w:t>m in variable diameter and scanned on the spread resin surface. Irradiation power was increased at 1 W for resin dewaxing and powder sintering through heating by ultraviolet ray propagations, resonations and absorptions in the paste materials. These YSZ and LLT micro components were shown in Figs. 2 and 3. Part accuracies of green bodies could be measured and observed by using a digital optical microscope (DOM). The micro</w:t>
      </w:r>
      <w:r>
        <w:t>-</w:t>
      </w:r>
      <w:r w:rsidRPr="007444D6">
        <w:t xml:space="preserve">structures of the sintered components were observed using a scanning electron microscope (SEM). </w:t>
      </w:r>
      <w:r>
        <w:t>The r</w:t>
      </w:r>
      <w:r w:rsidRPr="007444D6">
        <w:t>elative densities of the</w:t>
      </w:r>
      <w:r>
        <w:t>se</w:t>
      </w:r>
      <w:r w:rsidRPr="007444D6">
        <w:t xml:space="preserve"> ceramic components were measured by the Archimedean method.</w:t>
      </w:r>
    </w:p>
    <w:p w:rsidR="00222196" w:rsidRDefault="00222196" w:rsidP="00222196">
      <w:pPr>
        <w:pStyle w:val="a3"/>
        <w:spacing w:line="281" w:lineRule="auto"/>
        <w:ind w:left="102"/>
        <w:jc w:val="both"/>
      </w:pPr>
    </w:p>
    <w:p w:rsidR="00D352FC" w:rsidRPr="00D352FC" w:rsidRDefault="00D352FC" w:rsidP="00222196">
      <w:pPr>
        <w:pStyle w:val="a3"/>
        <w:spacing w:line="281" w:lineRule="auto"/>
        <w:ind w:left="102"/>
        <w:jc w:val="both"/>
        <w:rPr>
          <w:rFonts w:eastAsiaTheme="minorEastAsia" w:hint="eastAsia"/>
          <w:b/>
          <w:lang w:eastAsia="ja-JP"/>
        </w:rPr>
      </w:pPr>
      <w:r w:rsidRPr="00D352FC">
        <w:rPr>
          <w:rFonts w:eastAsiaTheme="minorEastAsia" w:hint="eastAsia"/>
          <w:b/>
          <w:lang w:eastAsia="ja-JP"/>
        </w:rPr>
        <w:t>References</w:t>
      </w:r>
    </w:p>
    <w:p w:rsidR="007444D6" w:rsidRDefault="007444D6" w:rsidP="00222196">
      <w:pPr>
        <w:pStyle w:val="a5"/>
        <w:numPr>
          <w:ilvl w:val="0"/>
          <w:numId w:val="3"/>
        </w:numPr>
        <w:tabs>
          <w:tab w:val="left" w:pos="384"/>
        </w:tabs>
        <w:spacing w:before="0" w:line="216" w:lineRule="exact"/>
        <w:ind w:left="380" w:right="136"/>
        <w:jc w:val="left"/>
        <w:rPr>
          <w:sz w:val="18"/>
        </w:rPr>
      </w:pPr>
      <w:r w:rsidRPr="007444D6">
        <w:rPr>
          <w:sz w:val="18"/>
        </w:rPr>
        <w:t>S. Kirihara, AM of Ceramic Components Using Laser Scanning STL, Welding in the World, 60 [4], 697-702 (2016).</w:t>
      </w:r>
    </w:p>
    <w:p w:rsidR="007444D6" w:rsidRPr="007444D6" w:rsidRDefault="007444D6" w:rsidP="00222196">
      <w:pPr>
        <w:pStyle w:val="a5"/>
        <w:numPr>
          <w:ilvl w:val="0"/>
          <w:numId w:val="3"/>
        </w:numPr>
        <w:tabs>
          <w:tab w:val="left" w:pos="384"/>
        </w:tabs>
        <w:spacing w:before="0" w:line="216" w:lineRule="exact"/>
        <w:ind w:left="380" w:right="136"/>
        <w:jc w:val="left"/>
        <w:rPr>
          <w:sz w:val="18"/>
        </w:rPr>
      </w:pPr>
      <w:r w:rsidRPr="007444D6">
        <w:rPr>
          <w:sz w:val="18"/>
        </w:rPr>
        <w:t>S. Kirihara, STL-AM of Ceramic Components by Using Nanoparticle Paste Feeding, Materials Science Forum, 879, 2485-2488 (2016).</w:t>
      </w:r>
    </w:p>
    <w:p w:rsidR="007444D6" w:rsidRPr="007444D6" w:rsidRDefault="007444D6" w:rsidP="00222196">
      <w:pPr>
        <w:pStyle w:val="a5"/>
        <w:numPr>
          <w:ilvl w:val="0"/>
          <w:numId w:val="3"/>
        </w:numPr>
        <w:tabs>
          <w:tab w:val="left" w:pos="384"/>
        </w:tabs>
        <w:spacing w:before="0" w:line="216" w:lineRule="exact"/>
        <w:ind w:left="380" w:right="136"/>
        <w:jc w:val="left"/>
        <w:rPr>
          <w:sz w:val="18"/>
        </w:rPr>
      </w:pPr>
      <w:r w:rsidRPr="007444D6">
        <w:rPr>
          <w:sz w:val="18"/>
        </w:rPr>
        <w:t>S. Kirihara, STL-AM of Ceramics Dendrites to Modulate Energy and Material Flows, Ceramic Transactions, 258, 11-17 (2016).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tbl>
      <w:tblPr>
        <w:tblStyle w:val="ad"/>
        <w:tblW w:w="0" w:type="auto"/>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32"/>
        <w:gridCol w:w="3520"/>
        <w:gridCol w:w="3520"/>
      </w:tblGrid>
      <w:tr w:rsidR="00D352FC" w:rsidRPr="00F57A35" w:rsidTr="00D352FC">
        <w:trPr>
          <w:trHeight w:val="2268"/>
        </w:trPr>
        <w:tc>
          <w:tcPr>
            <w:tcW w:w="3544" w:type="dxa"/>
          </w:tcPr>
          <w:p w:rsidR="00D352FC" w:rsidRPr="00F57A35" w:rsidRDefault="00D352FC" w:rsidP="00D44515">
            <w:pPr>
              <w:jc w:val="center"/>
              <w:rPr>
                <w:rFonts w:ascii="Calibri" w:hAnsi="Calibri"/>
                <w:sz w:val="20"/>
                <w:szCs w:val="20"/>
                <w:lang w:val="en-CA"/>
              </w:rPr>
            </w:pPr>
            <w:r w:rsidRPr="00F57A35">
              <w:rPr>
                <w:rFonts w:ascii="Calibri" w:hAnsi="Calibri"/>
                <w:noProof/>
                <w:sz w:val="20"/>
                <w:szCs w:val="20"/>
                <w:lang w:eastAsia="ja-JP"/>
              </w:rPr>
              <w:drawing>
                <wp:inline distT="0" distB="0" distL="0" distR="0" wp14:anchorId="1CA7D611" wp14:editId="6DCC1686">
                  <wp:extent cx="1777863" cy="1439545"/>
                  <wp:effectExtent l="0" t="0" r="0" b="825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9764" cy="1449182"/>
                          </a:xfrm>
                          <a:prstGeom prst="rect">
                            <a:avLst/>
                          </a:prstGeom>
                          <a:noFill/>
                          <a:ln>
                            <a:noFill/>
                          </a:ln>
                        </pic:spPr>
                      </pic:pic>
                    </a:graphicData>
                  </a:graphic>
                </wp:inline>
              </w:drawing>
            </w:r>
          </w:p>
        </w:tc>
        <w:tc>
          <w:tcPr>
            <w:tcW w:w="3544" w:type="dxa"/>
          </w:tcPr>
          <w:p w:rsidR="00D352FC" w:rsidRPr="00F57A35" w:rsidRDefault="00D352FC" w:rsidP="00D44515">
            <w:pPr>
              <w:jc w:val="center"/>
              <w:rPr>
                <w:rFonts w:ascii="Calibri" w:hAnsi="Calibri"/>
                <w:sz w:val="20"/>
                <w:szCs w:val="20"/>
                <w:lang w:val="en-CA"/>
              </w:rPr>
            </w:pPr>
            <w:r w:rsidRPr="00F57A35">
              <w:rPr>
                <w:rFonts w:ascii="Calibri" w:hAnsi="Calibri"/>
                <w:noProof/>
                <w:sz w:val="20"/>
                <w:szCs w:val="20"/>
                <w:lang w:eastAsia="ja-JP"/>
              </w:rPr>
              <w:drawing>
                <wp:inline distT="0" distB="0" distL="0" distR="0" wp14:anchorId="49891667" wp14:editId="2B2D53D9">
                  <wp:extent cx="1440000" cy="1440000"/>
                  <wp:effectExtent l="0" t="0" r="8255" b="8255"/>
                  <wp:docPr id="1" name="図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tc>
        <w:tc>
          <w:tcPr>
            <w:tcW w:w="3544" w:type="dxa"/>
          </w:tcPr>
          <w:p w:rsidR="00D352FC" w:rsidRPr="00F57A35" w:rsidRDefault="00D352FC" w:rsidP="00D44515">
            <w:pPr>
              <w:jc w:val="center"/>
              <w:rPr>
                <w:rFonts w:ascii="Calibri" w:hAnsi="Calibri"/>
                <w:sz w:val="20"/>
                <w:szCs w:val="20"/>
                <w:lang w:val="en-CA"/>
              </w:rPr>
            </w:pPr>
            <w:r w:rsidRPr="00F57A35">
              <w:rPr>
                <w:rFonts w:ascii="Calibri" w:hAnsi="Calibri"/>
                <w:noProof/>
                <w:sz w:val="20"/>
                <w:szCs w:val="20"/>
                <w:lang w:eastAsia="ja-JP"/>
              </w:rPr>
              <w:drawing>
                <wp:inline distT="0" distB="0" distL="0" distR="0" wp14:anchorId="04F66AED" wp14:editId="7C70B752">
                  <wp:extent cx="1437540" cy="1440000"/>
                  <wp:effectExtent l="0" t="0" r="0" b="825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7540" cy="1440000"/>
                          </a:xfrm>
                          <a:prstGeom prst="rect">
                            <a:avLst/>
                          </a:prstGeom>
                          <a:noFill/>
                          <a:ln>
                            <a:noFill/>
                          </a:ln>
                        </pic:spPr>
                      </pic:pic>
                    </a:graphicData>
                  </a:graphic>
                </wp:inline>
              </w:drawing>
            </w:r>
          </w:p>
        </w:tc>
      </w:tr>
      <w:tr w:rsidR="00D352FC" w:rsidRPr="00D352FC" w:rsidTr="00C6674D">
        <w:trPr>
          <w:trHeight w:val="442"/>
        </w:trPr>
        <w:tc>
          <w:tcPr>
            <w:tcW w:w="3544" w:type="dxa"/>
            <w:vAlign w:val="center"/>
          </w:tcPr>
          <w:p w:rsidR="00D352FC" w:rsidRPr="00D352FC" w:rsidRDefault="00D352FC" w:rsidP="00D44515">
            <w:pPr>
              <w:jc w:val="center"/>
              <w:rPr>
                <w:sz w:val="18"/>
                <w:szCs w:val="20"/>
                <w:lang w:val="en-CA" w:eastAsia="ja-JP"/>
              </w:rPr>
            </w:pPr>
            <w:r w:rsidRPr="00D352FC">
              <w:rPr>
                <w:sz w:val="18"/>
                <w:szCs w:val="20"/>
                <w:lang w:val="en-CA" w:eastAsia="ja-JP"/>
              </w:rPr>
              <w:t>(a)</w:t>
            </w:r>
          </w:p>
        </w:tc>
        <w:tc>
          <w:tcPr>
            <w:tcW w:w="3544" w:type="dxa"/>
            <w:vAlign w:val="center"/>
          </w:tcPr>
          <w:p w:rsidR="00D352FC" w:rsidRPr="00D352FC" w:rsidRDefault="00D352FC" w:rsidP="00D44515">
            <w:pPr>
              <w:jc w:val="center"/>
              <w:rPr>
                <w:sz w:val="18"/>
                <w:szCs w:val="20"/>
                <w:lang w:val="en-CA" w:eastAsia="ja-JP"/>
              </w:rPr>
            </w:pPr>
            <w:r w:rsidRPr="00D352FC">
              <w:rPr>
                <w:sz w:val="18"/>
                <w:szCs w:val="20"/>
                <w:lang w:val="en-CA" w:eastAsia="ja-JP"/>
              </w:rPr>
              <w:t>(b)</w:t>
            </w:r>
          </w:p>
        </w:tc>
        <w:tc>
          <w:tcPr>
            <w:tcW w:w="3544" w:type="dxa"/>
            <w:vAlign w:val="center"/>
          </w:tcPr>
          <w:p w:rsidR="00D352FC" w:rsidRPr="00D352FC" w:rsidRDefault="00D352FC" w:rsidP="00D44515">
            <w:pPr>
              <w:jc w:val="center"/>
              <w:rPr>
                <w:sz w:val="18"/>
                <w:szCs w:val="20"/>
                <w:lang w:val="en-CA" w:eastAsia="ja-JP"/>
              </w:rPr>
            </w:pPr>
            <w:r w:rsidRPr="00D352FC">
              <w:rPr>
                <w:sz w:val="18"/>
                <w:szCs w:val="20"/>
                <w:lang w:val="en-CA" w:eastAsia="ja-JP"/>
              </w:rPr>
              <w:t>(c)</w:t>
            </w:r>
          </w:p>
        </w:tc>
      </w:tr>
    </w:tbl>
    <w:p w:rsidR="00D352FC" w:rsidRPr="00D352FC" w:rsidRDefault="00D352FC" w:rsidP="00C6674D">
      <w:pPr>
        <w:ind w:left="102"/>
        <w:jc w:val="both"/>
        <w:rPr>
          <w:sz w:val="18"/>
          <w:szCs w:val="20"/>
          <w:lang w:val="en-CA" w:eastAsia="ja-JP"/>
        </w:rPr>
      </w:pPr>
      <w:r w:rsidRPr="00D352FC">
        <w:rPr>
          <w:sz w:val="18"/>
          <w:szCs w:val="20"/>
          <w:lang w:val="en-CA" w:eastAsia="ja-JP"/>
        </w:rPr>
        <w:t xml:space="preserve">Fig. 1  A schematic illustration of sterelolithographic additive manufacturing using ceramic nanoparticles (a), and solid electrolytes components with micro geometric structures composed of yttria-stabilized zirconia (b) and </w:t>
      </w:r>
      <w:r w:rsidRPr="00D352FC">
        <w:rPr>
          <w:sz w:val="18"/>
          <w:szCs w:val="20"/>
          <w:lang w:val="en-CA"/>
        </w:rPr>
        <w:t xml:space="preserve">lithium-lanthanum-titanate (c) </w:t>
      </w:r>
      <w:r w:rsidRPr="00D352FC">
        <w:rPr>
          <w:sz w:val="18"/>
          <w:szCs w:val="20"/>
          <w:lang w:val="en-CA" w:eastAsia="ja-JP"/>
        </w:rPr>
        <w:t>for energy storage</w:t>
      </w:r>
      <w:r w:rsidRPr="00D352FC">
        <w:rPr>
          <w:sz w:val="18"/>
          <w:szCs w:val="20"/>
          <w:lang w:val="en-CA"/>
        </w:rPr>
        <w:t>.</w:t>
      </w:r>
    </w:p>
    <w:p w:rsidR="00222196" w:rsidRDefault="00222196">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FE7A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C6674D" w:rsidP="00C6674D">
      <w:pPr>
        <w:spacing w:before="240"/>
        <w:ind w:right="4236" w:firstLineChars="100" w:firstLine="220"/>
        <w:rPr>
          <w:rFonts w:ascii="Arial"/>
        </w:rPr>
      </w:pPr>
      <w:bookmarkStart w:id="0" w:name="_GoBack"/>
      <w:r>
        <w:rPr>
          <w:noProof/>
          <w:lang w:eastAsia="ja-JP"/>
        </w:rPr>
        <w:drawing>
          <wp:inline distT="0" distB="0" distL="0" distR="0">
            <wp:extent cx="1131570" cy="1330325"/>
            <wp:effectExtent l="0" t="0" r="0" b="3175"/>
            <wp:docPr id="6" name="図 9" descr="åç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åçb"/>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131570" cy="1330325"/>
                    </a:xfrm>
                    <a:prstGeom prst="rect">
                      <a:avLst/>
                    </a:prstGeom>
                    <a:noFill/>
                    <a:ln>
                      <a:noFill/>
                    </a:ln>
                  </pic:spPr>
                </pic:pic>
              </a:graphicData>
            </a:graphic>
          </wp:inline>
        </w:drawing>
      </w:r>
    </w:p>
    <w:p w:rsidR="00AE3E37" w:rsidRDefault="00D352FC">
      <w:pPr>
        <w:spacing w:before="41" w:line="154" w:lineRule="exact"/>
        <w:ind w:left="213" w:right="231"/>
        <w:jc w:val="both"/>
        <w:rPr>
          <w:rFonts w:ascii="Arial"/>
          <w:sz w:val="14"/>
        </w:rPr>
      </w:pPr>
      <w:r w:rsidRPr="00D352FC">
        <w:rPr>
          <w:rFonts w:ascii="Arial"/>
          <w:sz w:val="14"/>
        </w:rPr>
        <w:t xml:space="preserve">Soshu Kirihara is a doctor of engineering and a professor of Joining and Welding Research Institute (JWRI), Osaka University, Japan. In his main investigation </w:t>
      </w:r>
      <w:r w:rsidRPr="00D352FC">
        <w:rPr>
          <w:rFonts w:ascii="Arial"/>
          <w:sz w:val="14"/>
        </w:rPr>
        <w:t>“</w:t>
      </w:r>
      <w:r w:rsidRPr="00D352FC">
        <w:rPr>
          <w:rFonts w:ascii="Arial"/>
          <w:sz w:val="14"/>
        </w:rPr>
        <w:t>Materials Tectonics</w:t>
      </w:r>
      <w:r w:rsidRPr="00D352FC">
        <w:rPr>
          <w:rFonts w:ascii="Arial"/>
          <w:sz w:val="14"/>
        </w:rPr>
        <w:t>”</w:t>
      </w:r>
      <w:r w:rsidRPr="00D352FC">
        <w:rPr>
          <w:rFonts w:ascii="Arial"/>
          <w:sz w:val="14"/>
        </w:rPr>
        <w:t xml:space="preserve"> for environmental improvements of </w:t>
      </w:r>
      <w:r w:rsidRPr="00D352FC">
        <w:rPr>
          <w:rFonts w:ascii="Arial"/>
          <w:sz w:val="14"/>
        </w:rPr>
        <w:t>“</w:t>
      </w:r>
      <w:r w:rsidRPr="00D352FC">
        <w:rPr>
          <w:rFonts w:ascii="Arial"/>
          <w:sz w:val="14"/>
        </w:rPr>
        <w:t>Geotechnology</w:t>
      </w:r>
      <w:r w:rsidRPr="00D352FC">
        <w:rPr>
          <w:rFonts w:ascii="Arial"/>
          <w:sz w:val="14"/>
        </w:rPr>
        <w:t>”</w:t>
      </w:r>
      <w:r w:rsidRPr="00D352FC">
        <w:rPr>
          <w:rFonts w:ascii="Arial"/>
          <w:sz w:val="14"/>
        </w:rPr>
        <w:t>, multi-dimensional structure</w:t>
      </w:r>
      <w:bookmarkEnd w:id="0"/>
      <w:r w:rsidRPr="00D352FC">
        <w:rPr>
          <w:rFonts w:ascii="Arial"/>
          <w:sz w:val="14"/>
        </w:rPr>
        <w:t xml:space="preserv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w:t>
      </w:r>
      <w:r w:rsidRPr="00D352FC">
        <w:rPr>
          <w:rFonts w:ascii="Arial"/>
          <w:sz w:val="14"/>
        </w:rPr>
        <w:t>“</w:t>
      </w:r>
      <w:r w:rsidRPr="00D352FC">
        <w:rPr>
          <w:rFonts w:ascii="Arial"/>
          <w:sz w:val="14"/>
        </w:rPr>
        <w:t>SK-Fine</w:t>
      </w:r>
      <w:r w:rsidRPr="00D352FC">
        <w:rPr>
          <w:rFonts w:ascii="Arial"/>
          <w:sz w:val="14"/>
        </w:rPr>
        <w:t>”</w:t>
      </w:r>
      <w:r w:rsidRPr="00D352FC">
        <w:rPr>
          <w:rFonts w:ascii="Arial"/>
          <w:sz w:val="14"/>
        </w:rPr>
        <w:t xml:space="preserve"> was established through academic-industrial collaboration.</w:t>
      </w:r>
      <w:r w:rsidR="00A9710C">
        <w:rPr>
          <w:rFonts w:ascii="Arial"/>
          <w:sz w:val="14"/>
        </w:rPr>
        <w:t>.</w:t>
      </w:r>
    </w:p>
    <w:p w:rsidR="00AE3E37" w:rsidRPr="00C6674D" w:rsidRDefault="00A9710C" w:rsidP="00C6674D">
      <w:pPr>
        <w:spacing w:before="62"/>
        <w:ind w:left="4217" w:right="4235"/>
        <w:jc w:val="center"/>
        <w:rPr>
          <w:rFonts w:ascii="Arial"/>
          <w:sz w:val="14"/>
        </w:rPr>
        <w:sectPr w:rsidR="00AE3E37" w:rsidRPr="00C6674D">
          <w:type w:val="continuous"/>
          <w:pgSz w:w="11910" w:h="16840"/>
          <w:pgMar w:top="1740" w:right="600" w:bottom="840" w:left="620" w:header="720" w:footer="720" w:gutter="0"/>
          <w:cols w:space="720"/>
        </w:sectPr>
      </w:pPr>
      <w:r>
        <w:rPr>
          <w:rFonts w:ascii="Arial"/>
          <w:sz w:val="14"/>
        </w:rPr>
        <w:t xml:space="preserve">Email: </w:t>
      </w:r>
      <w:r w:rsidR="00C6674D">
        <w:rPr>
          <w:rFonts w:ascii="Arial"/>
          <w:sz w:val="14"/>
        </w:rPr>
        <w:t>kirihara@jwri.osaka-u.ac.jp</w:t>
      </w:r>
      <w:r w:rsidR="00292ED9">
        <w:rPr>
          <w:noProof/>
          <w:lang w:eastAsia="ja-JP"/>
        </w:rPr>
        <mc:AlternateContent>
          <mc:Choice Requires="wps">
            <w:drawing>
              <wp:anchor distT="0" distB="0" distL="0" distR="0" simplePos="0" relativeHeight="25166080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FF98F" id="Line 3" o:spid="_x0000_s1026" style="position:absolute;left:0;text-align:lef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C6674D">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2EE" w:rsidRDefault="009702EE">
      <w:r>
        <w:separator/>
      </w:r>
    </w:p>
  </w:endnote>
  <w:endnote w:type="continuationSeparator" w:id="0">
    <w:p w:rsidR="009702EE" w:rsidRDefault="00970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2EE" w:rsidRDefault="009702EE">
      <w:r>
        <w:separator/>
      </w:r>
    </w:p>
  </w:footnote>
  <w:footnote w:type="continuationSeparator" w:id="0">
    <w:p w:rsidR="009702EE" w:rsidRDefault="00970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22196"/>
    <w:rsid w:val="002455EC"/>
    <w:rsid w:val="00292ED9"/>
    <w:rsid w:val="00404E5B"/>
    <w:rsid w:val="00414F7B"/>
    <w:rsid w:val="004355DC"/>
    <w:rsid w:val="004749B4"/>
    <w:rsid w:val="00494130"/>
    <w:rsid w:val="004F3523"/>
    <w:rsid w:val="005973B9"/>
    <w:rsid w:val="005B3A56"/>
    <w:rsid w:val="006060CE"/>
    <w:rsid w:val="0063497F"/>
    <w:rsid w:val="007444D6"/>
    <w:rsid w:val="00873DF0"/>
    <w:rsid w:val="008756E6"/>
    <w:rsid w:val="008A08B6"/>
    <w:rsid w:val="009702EE"/>
    <w:rsid w:val="009B2D44"/>
    <w:rsid w:val="00A07E82"/>
    <w:rsid w:val="00A9710C"/>
    <w:rsid w:val="00AE3E37"/>
    <w:rsid w:val="00B21A57"/>
    <w:rsid w:val="00C33602"/>
    <w:rsid w:val="00C6674D"/>
    <w:rsid w:val="00CD6F55"/>
    <w:rsid w:val="00D352FC"/>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0ED557E"/>
  <w15:docId w15:val="{4271171A-1100-4A2D-AC76-8C8D1B88F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table" w:styleId="ad">
    <w:name w:val="Table Grid"/>
    <w:basedOn w:val="a1"/>
    <w:rsid w:val="002221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http://www.dma.jim.osaka-u.ac.jp/photo?u=2190"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578</Words>
  <Characters>3295</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Kirihara Soshu</cp:lastModifiedBy>
  <cp:revision>2</cp:revision>
  <dcterms:created xsi:type="dcterms:W3CDTF">2020-03-09T07:23:00Z</dcterms:created>
  <dcterms:modified xsi:type="dcterms:W3CDTF">2020-03-09T07:23:00Z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