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FC1F12" w:rsidRDefault="00FC1F12" w:rsidP="00494130">
      <w:pPr>
        <w:pStyle w:val="Heading1"/>
        <w:spacing w:before="170"/>
        <w:ind w:left="0"/>
        <w:rPr>
          <w:sz w:val="34"/>
          <w:szCs w:val="34"/>
        </w:rPr>
      </w:pPr>
      <w:r w:rsidRPr="00FC1F12">
        <w:rPr>
          <w:color w:val="337AB7"/>
          <w:sz w:val="34"/>
          <w:szCs w:val="34"/>
        </w:rPr>
        <w:t>Structural, electronic and optical properties of CsPbX</w:t>
      </w:r>
      <w:r w:rsidRPr="00FC1F12">
        <w:rPr>
          <w:color w:val="337AB7"/>
          <w:sz w:val="34"/>
          <w:szCs w:val="34"/>
          <w:vertAlign w:val="subscript"/>
        </w:rPr>
        <w:t>3</w:t>
      </w:r>
      <w:r w:rsidRPr="00FC1F12">
        <w:rPr>
          <w:color w:val="337AB7"/>
          <w:sz w:val="34"/>
          <w:szCs w:val="34"/>
        </w:rPr>
        <w:t xml:space="preserve"> (X = </w:t>
      </w:r>
      <w:proofErr w:type="spellStart"/>
      <w:r w:rsidRPr="00FC1F12">
        <w:rPr>
          <w:color w:val="337AB7"/>
          <w:sz w:val="34"/>
          <w:szCs w:val="34"/>
        </w:rPr>
        <w:t>Cl</w:t>
      </w:r>
      <w:proofErr w:type="spellEnd"/>
      <w:r w:rsidRPr="00FC1F12">
        <w:rPr>
          <w:color w:val="337AB7"/>
          <w:sz w:val="34"/>
          <w:szCs w:val="34"/>
        </w:rPr>
        <w:t xml:space="preserve">, Br, and I) </w:t>
      </w:r>
      <w:proofErr w:type="spellStart"/>
      <w:r w:rsidRPr="00FC1F12">
        <w:rPr>
          <w:color w:val="337AB7"/>
          <w:sz w:val="34"/>
          <w:szCs w:val="34"/>
        </w:rPr>
        <w:t>Perovskites</w:t>
      </w:r>
      <w:proofErr w:type="spellEnd"/>
      <w:r w:rsidRPr="00FC1F12">
        <w:rPr>
          <w:color w:val="337AB7"/>
          <w:sz w:val="34"/>
          <w:szCs w:val="34"/>
        </w:rPr>
        <w:t>: A DFT study</w:t>
      </w:r>
    </w:p>
    <w:p w:rsidR="00AE3E37" w:rsidRDefault="00FC1F12" w:rsidP="00FC1F12">
      <w:pPr>
        <w:pStyle w:val="BodyText"/>
        <w:jc w:val="center"/>
        <w:rPr>
          <w:rFonts w:ascii="Arial"/>
          <w:vertAlign w:val="superscript"/>
        </w:rPr>
      </w:pPr>
      <w:r w:rsidRPr="00FC1F12">
        <w:rPr>
          <w:rFonts w:ascii="Arial"/>
        </w:rPr>
        <w:t>Hamid M. Ghaithan</w:t>
      </w:r>
      <w:r w:rsidRPr="00FC1F12">
        <w:rPr>
          <w:rFonts w:ascii="Arial"/>
          <w:vertAlign w:val="superscript"/>
        </w:rPr>
        <w:t>1*</w:t>
      </w:r>
      <w:r w:rsidRPr="00FC1F12">
        <w:rPr>
          <w:rFonts w:ascii="Arial"/>
        </w:rPr>
        <w:t xml:space="preserve">, </w:t>
      </w:r>
      <w:proofErr w:type="spellStart"/>
      <w:r w:rsidRPr="00FC1F12">
        <w:rPr>
          <w:rFonts w:ascii="Arial"/>
        </w:rPr>
        <w:t>Zeyad</w:t>
      </w:r>
      <w:proofErr w:type="spellEnd"/>
      <w:r w:rsidRPr="00FC1F12">
        <w:rPr>
          <w:rFonts w:ascii="Arial"/>
        </w:rPr>
        <w:t xml:space="preserve"> A. Alahmed</w:t>
      </w:r>
      <w:r w:rsidRPr="00FC1F12">
        <w:rPr>
          <w:rFonts w:ascii="Arial"/>
          <w:vertAlign w:val="superscript"/>
        </w:rPr>
        <w:t>1</w:t>
      </w:r>
      <w:r w:rsidRPr="00FC1F12">
        <w:rPr>
          <w:rFonts w:ascii="Arial"/>
        </w:rPr>
        <w:t>, and Abdullah S. Aldwayyan</w:t>
      </w:r>
      <w:r w:rsidRPr="00FC1F12">
        <w:rPr>
          <w:rFonts w:ascii="Arial"/>
          <w:vertAlign w:val="superscript"/>
        </w:rPr>
        <w:t>1</w:t>
      </w:r>
    </w:p>
    <w:p w:rsidR="00FC1F12" w:rsidRDefault="00FC1F12" w:rsidP="00FC1F12">
      <w:pPr>
        <w:pStyle w:val="BodyText"/>
        <w:jc w:val="center"/>
        <w:rPr>
          <w:rFonts w:ascii="Arial"/>
        </w:rPr>
      </w:pPr>
    </w:p>
    <w:p w:rsidR="00FC1F12" w:rsidRPr="00FC1F12" w:rsidRDefault="00FC1F12" w:rsidP="00FC1F12">
      <w:pPr>
        <w:pStyle w:val="BodyText"/>
        <w:rPr>
          <w:rFonts w:ascii="Arial"/>
          <w:szCs w:val="16"/>
        </w:rPr>
      </w:pPr>
      <w:r w:rsidRPr="00FC1F12">
        <w:rPr>
          <w:rFonts w:ascii="Arial"/>
          <w:szCs w:val="16"/>
          <w:vertAlign w:val="superscript"/>
        </w:rPr>
        <w:t>1</w:t>
      </w:r>
      <w:r w:rsidRPr="00FC1F12">
        <w:rPr>
          <w:rFonts w:ascii="Arial"/>
          <w:szCs w:val="16"/>
        </w:rPr>
        <w:t xml:space="preserve"> Physics and Astronomy Department, College of Science, King Saud University, P.O. Box 2455, Riyadh, 11451, Saudi Arabia.</w:t>
      </w:r>
    </w:p>
    <w:p w:rsidR="00FC1F12" w:rsidRPr="00FC1F12" w:rsidRDefault="00FC1F12" w:rsidP="00FC1F12">
      <w:pPr>
        <w:pStyle w:val="BodyText"/>
        <w:rPr>
          <w:rFonts w:ascii="Arial"/>
          <w:szCs w:val="16"/>
        </w:rPr>
      </w:pPr>
      <w:r w:rsidRPr="00FC1F12">
        <w:rPr>
          <w:rFonts w:ascii="Arial"/>
          <w:szCs w:val="16"/>
          <w:vertAlign w:val="superscript"/>
        </w:rPr>
        <w:t>2</w:t>
      </w:r>
      <w:r w:rsidRPr="00FC1F12">
        <w:rPr>
          <w:rFonts w:ascii="Arial"/>
          <w:szCs w:val="16"/>
        </w:rPr>
        <w:t xml:space="preserve"> K.A.CARE Energy Research and Innovation Center at Riyadh, P.O. Box 2022, Riyadh 11454, Saudi Arabia.</w:t>
      </w:r>
    </w:p>
    <w:p w:rsidR="00FC1F12" w:rsidRDefault="00FC1F12" w:rsidP="00FC1F12">
      <w:pPr>
        <w:pStyle w:val="BodyText"/>
        <w:jc w:val="center"/>
        <w:rPr>
          <w:rFonts w:ascii="Arial"/>
          <w:sz w:val="20"/>
        </w:rPr>
      </w:pPr>
      <w:hyperlink r:id="rId7" w:history="1">
        <w:r w:rsidRPr="00A9793F">
          <w:rPr>
            <w:rStyle w:val="Hyperlink"/>
            <w:rFonts w:ascii="Arial"/>
            <w:sz w:val="20"/>
          </w:rPr>
          <w:t>*hghaithan@ksu.edu.sa</w:t>
        </w:r>
      </w:hyperlink>
    </w:p>
    <w:p w:rsidR="00FC1F12" w:rsidRDefault="00FC1F12" w:rsidP="00FC1F12">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FC1F12">
      <w:pPr>
        <w:pStyle w:val="Heading3"/>
        <w:spacing w:before="147"/>
        <w:jc w:val="both"/>
      </w:pPr>
      <w:r>
        <w:rPr>
          <w:color w:val="BF5A14"/>
        </w:rPr>
        <w:lastRenderedPageBreak/>
        <w:t>Abstract</w:t>
      </w:r>
      <w:r w:rsidR="00404E5B">
        <w:rPr>
          <w:color w:val="BF5A14"/>
        </w:rPr>
        <w:t xml:space="preserve"> </w:t>
      </w:r>
    </w:p>
    <w:p w:rsidR="00FC1F12" w:rsidRDefault="00FC1F12" w:rsidP="00FC1F12">
      <w:pPr>
        <w:pStyle w:val="Heading3"/>
        <w:spacing w:before="74"/>
        <w:jc w:val="both"/>
        <w:rPr>
          <w:rFonts w:ascii="Tw Cen MT" w:eastAsia="Tw Cen MT" w:hAnsi="Tw Cen MT" w:cs="Tw Cen MT"/>
          <w:b w:val="0"/>
          <w:bCs w:val="0"/>
          <w:sz w:val="18"/>
          <w:szCs w:val="18"/>
        </w:rPr>
      </w:pPr>
      <w:r w:rsidRPr="00FC1F12">
        <w:rPr>
          <w:rFonts w:ascii="Tw Cen MT" w:eastAsia="Tw Cen MT" w:hAnsi="Tw Cen MT" w:cs="Tw Cen MT"/>
          <w:b w:val="0"/>
          <w:bCs w:val="0"/>
          <w:sz w:val="18"/>
          <w:szCs w:val="18"/>
        </w:rPr>
        <w:t xml:space="preserve">Cesium lead halides CsPbX3 (X = I, Br, </w:t>
      </w:r>
      <w:proofErr w:type="spellStart"/>
      <w:r w:rsidRPr="00FC1F12">
        <w:rPr>
          <w:rFonts w:ascii="Tw Cen MT" w:eastAsia="Tw Cen MT" w:hAnsi="Tw Cen MT" w:cs="Tw Cen MT"/>
          <w:b w:val="0"/>
          <w:bCs w:val="0"/>
          <w:sz w:val="18"/>
          <w:szCs w:val="18"/>
        </w:rPr>
        <w:t>Cl</w:t>
      </w:r>
      <w:proofErr w:type="spellEnd"/>
      <w:r w:rsidRPr="00FC1F12">
        <w:rPr>
          <w:rFonts w:ascii="Tw Cen MT" w:eastAsia="Tw Cen MT" w:hAnsi="Tw Cen MT" w:cs="Tw Cen MT"/>
          <w:b w:val="0"/>
          <w:bCs w:val="0"/>
          <w:sz w:val="18"/>
          <w:szCs w:val="18"/>
        </w:rPr>
        <w:t xml:space="preserve">) </w:t>
      </w:r>
      <w:proofErr w:type="spellStart"/>
      <w:r w:rsidRPr="00FC1F12">
        <w:rPr>
          <w:rFonts w:ascii="Tw Cen MT" w:eastAsia="Tw Cen MT" w:hAnsi="Tw Cen MT" w:cs="Tw Cen MT"/>
          <w:b w:val="0"/>
          <w:bCs w:val="0"/>
          <w:sz w:val="18"/>
          <w:szCs w:val="18"/>
        </w:rPr>
        <w:t>perovskite</w:t>
      </w:r>
      <w:proofErr w:type="spellEnd"/>
      <w:r w:rsidRPr="00FC1F12">
        <w:rPr>
          <w:rFonts w:ascii="Tw Cen MT" w:eastAsia="Tw Cen MT" w:hAnsi="Tw Cen MT" w:cs="Tw Cen MT"/>
          <w:b w:val="0"/>
          <w:bCs w:val="0"/>
          <w:sz w:val="18"/>
          <w:szCs w:val="18"/>
        </w:rPr>
        <w:t xml:space="preserve"> has recently gained significance owing to its rapidly increasing performance when used for light-emitting devices. Density functional theory (DFT) can be used to determine the structural, electronic, and optical properties of the cubic, tetragonal, and orthorhombic temperature-dependent phases of CsPbX3 </w:t>
      </w:r>
      <w:proofErr w:type="spellStart"/>
      <w:r w:rsidRPr="00FC1F12">
        <w:rPr>
          <w:rFonts w:ascii="Tw Cen MT" w:eastAsia="Tw Cen MT" w:hAnsi="Tw Cen MT" w:cs="Tw Cen MT"/>
          <w:b w:val="0"/>
          <w:bCs w:val="0"/>
          <w:sz w:val="18"/>
          <w:szCs w:val="18"/>
        </w:rPr>
        <w:t>perovskite</w:t>
      </w:r>
      <w:proofErr w:type="spellEnd"/>
      <w:r w:rsidRPr="00FC1F12">
        <w:rPr>
          <w:rFonts w:ascii="Tw Cen MT" w:eastAsia="Tw Cen MT" w:hAnsi="Tw Cen MT" w:cs="Tw Cen MT"/>
          <w:b w:val="0"/>
          <w:bCs w:val="0"/>
          <w:sz w:val="18"/>
          <w:szCs w:val="18"/>
        </w:rPr>
        <w:t xml:space="preserve"> using the full-potential linear augmented plane wave method. The electronic properties have been investigated by evaluating their changes upon exerting spin-orbit coupling (SOC) using the local density approximation (LDA), </w:t>
      </w:r>
      <w:proofErr w:type="spellStart"/>
      <w:r w:rsidRPr="00FC1F12">
        <w:rPr>
          <w:rFonts w:ascii="Tw Cen MT" w:eastAsia="Tw Cen MT" w:hAnsi="Tw Cen MT" w:cs="Tw Cen MT"/>
          <w:b w:val="0"/>
          <w:bCs w:val="0"/>
          <w:sz w:val="18"/>
          <w:szCs w:val="18"/>
        </w:rPr>
        <w:t>Perdew</w:t>
      </w:r>
      <w:proofErr w:type="spellEnd"/>
      <w:r w:rsidRPr="00FC1F12">
        <w:rPr>
          <w:rFonts w:ascii="Tw Cen MT" w:eastAsia="Tw Cen MT" w:hAnsi="Tw Cen MT" w:cs="Tw Cen MT"/>
          <w:b w:val="0"/>
          <w:bCs w:val="0"/>
          <w:sz w:val="18"/>
          <w:szCs w:val="18"/>
        </w:rPr>
        <w:t>–Burke–</w:t>
      </w:r>
      <w:proofErr w:type="spellStart"/>
      <w:r w:rsidRPr="00FC1F12">
        <w:rPr>
          <w:rFonts w:ascii="Tw Cen MT" w:eastAsia="Tw Cen MT" w:hAnsi="Tw Cen MT" w:cs="Tw Cen MT"/>
          <w:b w:val="0"/>
          <w:bCs w:val="0"/>
          <w:sz w:val="18"/>
          <w:szCs w:val="18"/>
        </w:rPr>
        <w:t>Ernzerhof</w:t>
      </w:r>
      <w:proofErr w:type="spellEnd"/>
      <w:r w:rsidRPr="00FC1F12">
        <w:rPr>
          <w:rFonts w:ascii="Tw Cen MT" w:eastAsia="Tw Cen MT" w:hAnsi="Tw Cen MT" w:cs="Tw Cen MT"/>
          <w:b w:val="0"/>
          <w:bCs w:val="0"/>
          <w:sz w:val="18"/>
          <w:szCs w:val="18"/>
        </w:rPr>
        <w:t xml:space="preserve"> generalized gradient approximation (PBE-GGA), Engel–</w:t>
      </w:r>
      <w:proofErr w:type="spellStart"/>
      <w:r w:rsidRPr="00FC1F12">
        <w:rPr>
          <w:rFonts w:ascii="Tw Cen MT" w:eastAsia="Tw Cen MT" w:hAnsi="Tw Cen MT" w:cs="Tw Cen MT"/>
          <w:b w:val="0"/>
          <w:bCs w:val="0"/>
          <w:sz w:val="18"/>
          <w:szCs w:val="18"/>
        </w:rPr>
        <w:t>Vosko</w:t>
      </w:r>
      <w:proofErr w:type="spellEnd"/>
      <w:r w:rsidRPr="00FC1F12">
        <w:rPr>
          <w:rFonts w:ascii="Tw Cen MT" w:eastAsia="Tw Cen MT" w:hAnsi="Tw Cen MT" w:cs="Tw Cen MT"/>
          <w:b w:val="0"/>
          <w:bCs w:val="0"/>
          <w:sz w:val="18"/>
          <w:szCs w:val="18"/>
        </w:rPr>
        <w:t xml:space="preserve"> GGA (EV-GGA), </w:t>
      </w:r>
      <w:proofErr w:type="spellStart"/>
      <w:r w:rsidRPr="00FC1F12">
        <w:rPr>
          <w:rFonts w:ascii="Tw Cen MT" w:eastAsia="Tw Cen MT" w:hAnsi="Tw Cen MT" w:cs="Tw Cen MT"/>
          <w:b w:val="0"/>
          <w:bCs w:val="0"/>
          <w:sz w:val="18"/>
          <w:szCs w:val="18"/>
        </w:rPr>
        <w:t>Perdew</w:t>
      </w:r>
      <w:proofErr w:type="spellEnd"/>
      <w:r w:rsidRPr="00FC1F12">
        <w:rPr>
          <w:rFonts w:ascii="Tw Cen MT" w:eastAsia="Tw Cen MT" w:hAnsi="Tw Cen MT" w:cs="Tw Cen MT"/>
          <w:b w:val="0"/>
          <w:bCs w:val="0"/>
          <w:sz w:val="18"/>
          <w:szCs w:val="18"/>
        </w:rPr>
        <w:t>–Burke–</w:t>
      </w:r>
      <w:proofErr w:type="spellStart"/>
      <w:r w:rsidRPr="00FC1F12">
        <w:rPr>
          <w:rFonts w:ascii="Tw Cen MT" w:eastAsia="Tw Cen MT" w:hAnsi="Tw Cen MT" w:cs="Tw Cen MT"/>
          <w:b w:val="0"/>
          <w:bCs w:val="0"/>
          <w:sz w:val="18"/>
          <w:szCs w:val="18"/>
        </w:rPr>
        <w:t>Ernzerhof</w:t>
      </w:r>
      <w:proofErr w:type="spellEnd"/>
      <w:r w:rsidRPr="00FC1F12">
        <w:rPr>
          <w:rFonts w:ascii="Tw Cen MT" w:eastAsia="Tw Cen MT" w:hAnsi="Tw Cen MT" w:cs="Tw Cen MT"/>
          <w:b w:val="0"/>
          <w:bCs w:val="0"/>
          <w:sz w:val="18"/>
          <w:szCs w:val="18"/>
        </w:rPr>
        <w:t xml:space="preserve"> GGA revised for solids (</w:t>
      </w:r>
      <w:proofErr w:type="spellStart"/>
      <w:r w:rsidRPr="00FC1F12">
        <w:rPr>
          <w:rFonts w:ascii="Tw Cen MT" w:eastAsia="Tw Cen MT" w:hAnsi="Tw Cen MT" w:cs="Tw Cen MT"/>
          <w:b w:val="0"/>
          <w:bCs w:val="0"/>
          <w:sz w:val="18"/>
          <w:szCs w:val="18"/>
        </w:rPr>
        <w:t>PBEsol</w:t>
      </w:r>
      <w:proofErr w:type="spellEnd"/>
      <w:r w:rsidRPr="00FC1F12">
        <w:rPr>
          <w:rFonts w:ascii="Tw Cen MT" w:eastAsia="Tw Cen MT" w:hAnsi="Tw Cen MT" w:cs="Tw Cen MT"/>
          <w:b w:val="0"/>
          <w:bCs w:val="0"/>
          <w:sz w:val="18"/>
          <w:szCs w:val="18"/>
        </w:rPr>
        <w:t xml:space="preserve">-GGA), modified </w:t>
      </w:r>
      <w:proofErr w:type="spellStart"/>
      <w:r w:rsidRPr="00FC1F12">
        <w:rPr>
          <w:rFonts w:ascii="Tw Cen MT" w:eastAsia="Tw Cen MT" w:hAnsi="Tw Cen MT" w:cs="Tw Cen MT"/>
          <w:b w:val="0"/>
          <w:bCs w:val="0"/>
          <w:sz w:val="18"/>
          <w:szCs w:val="18"/>
        </w:rPr>
        <w:t>Becke</w:t>
      </w:r>
      <w:proofErr w:type="spellEnd"/>
      <w:r w:rsidRPr="00FC1F12">
        <w:rPr>
          <w:rFonts w:ascii="Tw Cen MT" w:eastAsia="Tw Cen MT" w:hAnsi="Tw Cen MT" w:cs="Tw Cen MT"/>
          <w:b w:val="0"/>
          <w:bCs w:val="0"/>
          <w:sz w:val="18"/>
          <w:szCs w:val="18"/>
        </w:rPr>
        <w:t>–Johnson GGA (</w:t>
      </w:r>
      <w:proofErr w:type="spellStart"/>
      <w:r w:rsidRPr="00FC1F12">
        <w:rPr>
          <w:rFonts w:ascii="Tw Cen MT" w:eastAsia="Tw Cen MT" w:hAnsi="Tw Cen MT" w:cs="Tw Cen MT"/>
          <w:b w:val="0"/>
          <w:bCs w:val="0"/>
          <w:sz w:val="18"/>
          <w:szCs w:val="18"/>
        </w:rPr>
        <w:t>mBJ</w:t>
      </w:r>
      <w:proofErr w:type="spellEnd"/>
      <w:r w:rsidRPr="00FC1F12">
        <w:rPr>
          <w:rFonts w:ascii="Tw Cen MT" w:eastAsia="Tw Cen MT" w:hAnsi="Tw Cen MT" w:cs="Tw Cen MT"/>
          <w:b w:val="0"/>
          <w:bCs w:val="0"/>
          <w:sz w:val="18"/>
          <w:szCs w:val="18"/>
        </w:rPr>
        <w:t xml:space="preserve">-GGA). Our band structure results indicated that the cubic, tetragonal, and orthorhombic phases have direct energy </w:t>
      </w:r>
      <w:proofErr w:type="spellStart"/>
      <w:r w:rsidRPr="00FC1F12">
        <w:rPr>
          <w:rFonts w:ascii="Tw Cen MT" w:eastAsia="Tw Cen MT" w:hAnsi="Tw Cen MT" w:cs="Tw Cen MT"/>
          <w:b w:val="0"/>
          <w:bCs w:val="0"/>
          <w:sz w:val="18"/>
          <w:szCs w:val="18"/>
        </w:rPr>
        <w:t>bandgaps</w:t>
      </w:r>
      <w:proofErr w:type="spellEnd"/>
      <w:r w:rsidRPr="00FC1F12">
        <w:rPr>
          <w:rFonts w:ascii="Tw Cen MT" w:eastAsia="Tw Cen MT" w:hAnsi="Tw Cen MT" w:cs="Tw Cen MT"/>
          <w:b w:val="0"/>
          <w:bCs w:val="0"/>
          <w:sz w:val="18"/>
          <w:szCs w:val="18"/>
        </w:rPr>
        <w:t xml:space="preserve">. By including the SOC effect in the calculations, the </w:t>
      </w:r>
      <w:proofErr w:type="spellStart"/>
      <w:r w:rsidRPr="00FC1F12">
        <w:rPr>
          <w:rFonts w:ascii="Tw Cen MT" w:eastAsia="Tw Cen MT" w:hAnsi="Tw Cen MT" w:cs="Tw Cen MT"/>
          <w:b w:val="0"/>
          <w:bCs w:val="0"/>
          <w:sz w:val="18"/>
          <w:szCs w:val="18"/>
        </w:rPr>
        <w:t>bandgaps</w:t>
      </w:r>
      <w:proofErr w:type="spellEnd"/>
      <w:r w:rsidRPr="00FC1F12">
        <w:rPr>
          <w:rFonts w:ascii="Tw Cen MT" w:eastAsia="Tw Cen MT" w:hAnsi="Tw Cen MT" w:cs="Tw Cen MT"/>
          <w:b w:val="0"/>
          <w:bCs w:val="0"/>
          <w:sz w:val="18"/>
          <w:szCs w:val="18"/>
        </w:rPr>
        <w:t xml:space="preserve"> computed with </w:t>
      </w:r>
      <w:proofErr w:type="spellStart"/>
      <w:r w:rsidRPr="00FC1F12">
        <w:rPr>
          <w:rFonts w:ascii="Tw Cen MT" w:eastAsia="Tw Cen MT" w:hAnsi="Tw Cen MT" w:cs="Tw Cen MT"/>
          <w:b w:val="0"/>
          <w:bCs w:val="0"/>
          <w:sz w:val="18"/>
          <w:szCs w:val="18"/>
        </w:rPr>
        <w:t>mBJ</w:t>
      </w:r>
      <w:proofErr w:type="spellEnd"/>
      <w:r w:rsidRPr="00FC1F12">
        <w:rPr>
          <w:rFonts w:ascii="Tw Cen MT" w:eastAsia="Tw Cen MT" w:hAnsi="Tw Cen MT" w:cs="Tw Cen MT"/>
          <w:b w:val="0"/>
          <w:bCs w:val="0"/>
          <w:sz w:val="18"/>
          <w:szCs w:val="18"/>
        </w:rPr>
        <w:t xml:space="preserve">-GGA and </w:t>
      </w:r>
      <w:proofErr w:type="spellStart"/>
      <w:r w:rsidRPr="00FC1F12">
        <w:rPr>
          <w:rFonts w:ascii="Tw Cen MT" w:eastAsia="Tw Cen MT" w:hAnsi="Tw Cen MT" w:cs="Tw Cen MT"/>
          <w:b w:val="0"/>
          <w:bCs w:val="0"/>
          <w:sz w:val="18"/>
          <w:szCs w:val="18"/>
        </w:rPr>
        <w:t>nmBJ</w:t>
      </w:r>
      <w:proofErr w:type="spellEnd"/>
      <w:r w:rsidRPr="00FC1F12">
        <w:rPr>
          <w:rFonts w:ascii="Tw Cen MT" w:eastAsia="Tw Cen MT" w:hAnsi="Tw Cen MT" w:cs="Tw Cen MT"/>
          <w:b w:val="0"/>
          <w:bCs w:val="0"/>
          <w:sz w:val="18"/>
          <w:szCs w:val="18"/>
        </w:rPr>
        <w:t>-GGA were found to be in good agreement with the experimental results. Additionally, despite the large variations in their lattice constants, the three CsPbX3 phases possessed similar optical properties. These results demonstrate a wide temperature range of operation for CsPbX3.</w:t>
      </w:r>
    </w:p>
    <w:p w:rsidR="00FC1F12" w:rsidRDefault="00FC1F12" w:rsidP="00FC1F12">
      <w:pPr>
        <w:pStyle w:val="Heading3"/>
        <w:spacing w:before="74"/>
        <w:jc w:val="both"/>
        <w:rPr>
          <w:rFonts w:ascii="Tw Cen MT" w:eastAsia="Tw Cen MT" w:hAnsi="Tw Cen MT" w:cs="Tw Cen MT"/>
          <w:b w:val="0"/>
          <w:bCs w:val="0"/>
          <w:sz w:val="18"/>
          <w:szCs w:val="18"/>
        </w:rPr>
      </w:pPr>
    </w:p>
    <w:p w:rsidR="00FC1F12" w:rsidRDefault="00FC1F12" w:rsidP="00FC1F12">
      <w:pPr>
        <w:pStyle w:val="Heading3"/>
        <w:spacing w:before="74"/>
        <w:jc w:val="both"/>
        <w:rPr>
          <w:rFonts w:ascii="Tw Cen MT" w:eastAsia="Tw Cen MT" w:hAnsi="Tw Cen MT" w:cs="Tw Cen MT"/>
          <w:b w:val="0"/>
          <w:bCs w:val="0"/>
          <w:sz w:val="18"/>
          <w:szCs w:val="18"/>
        </w:rPr>
      </w:pPr>
    </w:p>
    <w:p w:rsidR="00FC1F12" w:rsidRDefault="00FC1F12" w:rsidP="00FC1F12">
      <w:pPr>
        <w:pStyle w:val="Heading3"/>
        <w:spacing w:before="74"/>
        <w:jc w:val="both"/>
        <w:rPr>
          <w:rFonts w:ascii="Tw Cen MT" w:eastAsia="Tw Cen MT" w:hAnsi="Tw Cen MT" w:cs="Tw Cen MT"/>
          <w:b w:val="0"/>
          <w:bCs w:val="0"/>
          <w:sz w:val="18"/>
          <w:szCs w:val="18"/>
        </w:rPr>
      </w:pPr>
    </w:p>
    <w:p w:rsidR="00FC1F12" w:rsidRDefault="00FC1F12" w:rsidP="00FC1F12">
      <w:pPr>
        <w:pStyle w:val="Heading3"/>
        <w:spacing w:before="74"/>
        <w:jc w:val="both"/>
        <w:rPr>
          <w:rFonts w:ascii="Tw Cen MT" w:eastAsia="Tw Cen MT" w:hAnsi="Tw Cen MT" w:cs="Tw Cen MT"/>
          <w:b w:val="0"/>
          <w:bCs w:val="0"/>
          <w:sz w:val="18"/>
          <w:szCs w:val="18"/>
        </w:rPr>
      </w:pPr>
    </w:p>
    <w:p w:rsidR="00FC1F12" w:rsidRDefault="00FC1F12" w:rsidP="00FC1F12">
      <w:pPr>
        <w:pStyle w:val="Heading3"/>
        <w:spacing w:before="74"/>
        <w:jc w:val="both"/>
        <w:rPr>
          <w:rFonts w:ascii="Tw Cen MT" w:eastAsia="Tw Cen MT" w:hAnsi="Tw Cen MT" w:cs="Tw Cen MT"/>
          <w:b w:val="0"/>
          <w:bCs w:val="0"/>
          <w:sz w:val="18"/>
          <w:szCs w:val="18"/>
        </w:rPr>
      </w:pPr>
    </w:p>
    <w:p w:rsidR="00FC1F12" w:rsidRDefault="00FC1F12" w:rsidP="00FC1F12">
      <w:pPr>
        <w:pStyle w:val="Heading3"/>
        <w:spacing w:before="74"/>
        <w:jc w:val="both"/>
        <w:rPr>
          <w:rFonts w:ascii="Tw Cen MT" w:eastAsia="Tw Cen MT" w:hAnsi="Tw Cen MT" w:cs="Tw Cen MT"/>
          <w:b w:val="0"/>
          <w:bCs w:val="0"/>
          <w:sz w:val="18"/>
          <w:szCs w:val="18"/>
        </w:rPr>
      </w:pPr>
    </w:p>
    <w:p w:rsidR="00FC1F12" w:rsidRDefault="00FC1F12" w:rsidP="00FC1F12">
      <w:pPr>
        <w:pStyle w:val="Heading3"/>
        <w:spacing w:before="74"/>
        <w:jc w:val="both"/>
        <w:rPr>
          <w:color w:val="BF5A14"/>
        </w:rPr>
      </w:pPr>
    </w:p>
    <w:p w:rsidR="00FC1F12" w:rsidRDefault="00FC1F12" w:rsidP="00FC1F12">
      <w:pPr>
        <w:pStyle w:val="Heading3"/>
        <w:spacing w:before="74"/>
        <w:jc w:val="both"/>
        <w:rPr>
          <w:color w:val="BF5A14"/>
        </w:rPr>
      </w:pPr>
    </w:p>
    <w:p w:rsidR="00FC1F12" w:rsidRDefault="00FC1F12" w:rsidP="00FC1F12">
      <w:pPr>
        <w:pStyle w:val="Heading3"/>
        <w:spacing w:before="74"/>
        <w:jc w:val="both"/>
        <w:rPr>
          <w:color w:val="BF5A14"/>
        </w:rPr>
      </w:pPr>
    </w:p>
    <w:p w:rsidR="00FC1F12" w:rsidRDefault="00FC1F12" w:rsidP="00FC1F12">
      <w:pPr>
        <w:pStyle w:val="Heading3"/>
        <w:spacing w:before="74"/>
        <w:jc w:val="both"/>
        <w:rPr>
          <w:color w:val="BF5A14"/>
        </w:rPr>
      </w:pPr>
    </w:p>
    <w:p w:rsidR="005973B9" w:rsidRDefault="005973B9" w:rsidP="00FC1F12">
      <w:pPr>
        <w:pStyle w:val="Heading3"/>
        <w:spacing w:before="74"/>
        <w:jc w:val="both"/>
        <w:rPr>
          <w:b w:val="0"/>
        </w:rPr>
      </w:pPr>
      <w:r>
        <w:rPr>
          <w:color w:val="BF5A14"/>
        </w:rPr>
        <w:lastRenderedPageBreak/>
        <w:br/>
        <w:t xml:space="preserve">Recent Publications </w:t>
      </w:r>
    </w:p>
    <w:p w:rsidR="00FC1F12" w:rsidRPr="00FC1F12" w:rsidRDefault="00FC1F12" w:rsidP="00FC1F12">
      <w:pPr>
        <w:pStyle w:val="ListParagraph"/>
        <w:numPr>
          <w:ilvl w:val="0"/>
          <w:numId w:val="3"/>
        </w:numPr>
        <w:tabs>
          <w:tab w:val="left" w:pos="384"/>
        </w:tabs>
        <w:spacing w:before="103" w:line="216" w:lineRule="exact"/>
        <w:ind w:right="138"/>
        <w:rPr>
          <w:sz w:val="18"/>
        </w:rPr>
      </w:pPr>
      <w:r w:rsidRPr="00FC1F12">
        <w:rPr>
          <w:b/>
          <w:bCs/>
          <w:sz w:val="18"/>
        </w:rPr>
        <w:t>Hamid M. Ghaithan</w:t>
      </w:r>
      <w:r w:rsidRPr="00FC1F12">
        <w:rPr>
          <w:sz w:val="18"/>
        </w:rPr>
        <w:t xml:space="preserve">, </w:t>
      </w:r>
      <w:proofErr w:type="spellStart"/>
      <w:r w:rsidRPr="00FC1F12">
        <w:rPr>
          <w:sz w:val="18"/>
        </w:rPr>
        <w:t>Saif</w:t>
      </w:r>
      <w:proofErr w:type="spellEnd"/>
      <w:r w:rsidRPr="00FC1F12">
        <w:rPr>
          <w:sz w:val="18"/>
        </w:rPr>
        <w:t xml:space="preserve"> M. H. </w:t>
      </w:r>
      <w:proofErr w:type="spellStart"/>
      <w:r w:rsidRPr="00FC1F12">
        <w:rPr>
          <w:sz w:val="18"/>
        </w:rPr>
        <w:t>Qaid</w:t>
      </w:r>
      <w:proofErr w:type="spellEnd"/>
      <w:r w:rsidRPr="00FC1F12">
        <w:rPr>
          <w:sz w:val="18"/>
        </w:rPr>
        <w:t xml:space="preserve">, </w:t>
      </w:r>
      <w:proofErr w:type="spellStart"/>
      <w:r w:rsidRPr="00FC1F12">
        <w:rPr>
          <w:sz w:val="18"/>
        </w:rPr>
        <w:t>Zeyad</w:t>
      </w:r>
      <w:proofErr w:type="spellEnd"/>
      <w:r w:rsidRPr="00FC1F12">
        <w:rPr>
          <w:sz w:val="18"/>
        </w:rPr>
        <w:t xml:space="preserve"> A. </w:t>
      </w:r>
      <w:proofErr w:type="spellStart"/>
      <w:r w:rsidRPr="00FC1F12">
        <w:rPr>
          <w:sz w:val="18"/>
        </w:rPr>
        <w:t>Alahmed</w:t>
      </w:r>
      <w:proofErr w:type="spellEnd"/>
      <w:r w:rsidRPr="00FC1F12">
        <w:rPr>
          <w:sz w:val="18"/>
        </w:rPr>
        <w:t xml:space="preserve">, Mahmoud </w:t>
      </w:r>
      <w:proofErr w:type="spellStart"/>
      <w:r w:rsidRPr="00FC1F12">
        <w:rPr>
          <w:sz w:val="18"/>
        </w:rPr>
        <w:t>Hezam</w:t>
      </w:r>
      <w:proofErr w:type="spellEnd"/>
      <w:r w:rsidRPr="00FC1F12">
        <w:rPr>
          <w:sz w:val="18"/>
        </w:rPr>
        <w:t xml:space="preserve">, Andreas </w:t>
      </w:r>
      <w:proofErr w:type="spellStart"/>
      <w:r w:rsidRPr="00FC1F12">
        <w:rPr>
          <w:sz w:val="18"/>
        </w:rPr>
        <w:t>Lyras</w:t>
      </w:r>
      <w:proofErr w:type="spellEnd"/>
      <w:r w:rsidRPr="00FC1F12">
        <w:rPr>
          <w:sz w:val="18"/>
        </w:rPr>
        <w:t xml:space="preserve">, </w:t>
      </w:r>
      <w:proofErr w:type="spellStart"/>
      <w:r w:rsidRPr="00FC1F12">
        <w:rPr>
          <w:sz w:val="18"/>
        </w:rPr>
        <w:t>Mabrook</w:t>
      </w:r>
      <w:proofErr w:type="spellEnd"/>
      <w:r w:rsidRPr="00FC1F12">
        <w:rPr>
          <w:sz w:val="18"/>
        </w:rPr>
        <w:t xml:space="preserve"> </w:t>
      </w:r>
      <w:proofErr w:type="spellStart"/>
      <w:r w:rsidRPr="00FC1F12">
        <w:rPr>
          <w:sz w:val="18"/>
        </w:rPr>
        <w:t>Amer</w:t>
      </w:r>
      <w:proofErr w:type="spellEnd"/>
      <w:r w:rsidRPr="00FC1F12">
        <w:rPr>
          <w:sz w:val="18"/>
        </w:rPr>
        <w:t xml:space="preserve">, and Abdullah S. </w:t>
      </w:r>
      <w:proofErr w:type="spellStart"/>
      <w:r w:rsidRPr="00FC1F12">
        <w:rPr>
          <w:sz w:val="18"/>
        </w:rPr>
        <w:t>Aldwayyan</w:t>
      </w:r>
      <w:proofErr w:type="spellEnd"/>
      <w:r w:rsidRPr="00FC1F12">
        <w:rPr>
          <w:sz w:val="18"/>
        </w:rPr>
        <w:t xml:space="preserve">, “Anion Substitution Effects on the Structural, Electronic, and Optical Properties of Inorganic </w:t>
      </w:r>
      <w:proofErr w:type="spellStart"/>
      <w:r w:rsidRPr="00FC1F12">
        <w:rPr>
          <w:sz w:val="18"/>
        </w:rPr>
        <w:t>CsPb</w:t>
      </w:r>
      <w:proofErr w:type="spellEnd"/>
      <w:r w:rsidRPr="00FC1F12">
        <w:rPr>
          <w:sz w:val="18"/>
        </w:rPr>
        <w:t>(I1–</w:t>
      </w:r>
      <w:proofErr w:type="spellStart"/>
      <w:r w:rsidRPr="00FC1F12">
        <w:rPr>
          <w:sz w:val="18"/>
        </w:rPr>
        <w:t>xBrx</w:t>
      </w:r>
      <w:proofErr w:type="spellEnd"/>
      <w:r w:rsidRPr="00FC1F12">
        <w:rPr>
          <w:sz w:val="18"/>
        </w:rPr>
        <w:t xml:space="preserve">)3 and </w:t>
      </w:r>
      <w:proofErr w:type="spellStart"/>
      <w:r w:rsidRPr="00FC1F12">
        <w:rPr>
          <w:sz w:val="18"/>
        </w:rPr>
        <w:t>CsPb</w:t>
      </w:r>
      <w:proofErr w:type="spellEnd"/>
      <w:r w:rsidRPr="00FC1F12">
        <w:rPr>
          <w:sz w:val="18"/>
        </w:rPr>
        <w:t>(Br1–</w:t>
      </w:r>
      <w:proofErr w:type="spellStart"/>
      <w:r w:rsidRPr="00FC1F12">
        <w:rPr>
          <w:sz w:val="18"/>
        </w:rPr>
        <w:t>xClx</w:t>
      </w:r>
      <w:proofErr w:type="spellEnd"/>
      <w:r w:rsidRPr="00FC1F12">
        <w:rPr>
          <w:sz w:val="18"/>
        </w:rPr>
        <w:t xml:space="preserve">)3 </w:t>
      </w:r>
      <w:proofErr w:type="spellStart"/>
      <w:r w:rsidRPr="00FC1F12">
        <w:rPr>
          <w:sz w:val="18"/>
        </w:rPr>
        <w:t>Perovskites</w:t>
      </w:r>
      <w:proofErr w:type="spellEnd"/>
      <w:r w:rsidRPr="00FC1F12">
        <w:rPr>
          <w:sz w:val="18"/>
        </w:rPr>
        <w:t>: Theoretical and Experimental Approaches”, J. Phys. Chem. C 2021, 125, 1, 886–897.</w:t>
      </w:r>
      <w:r>
        <w:rPr>
          <w:sz w:val="18"/>
        </w:rPr>
        <w:t xml:space="preserve"> </w:t>
      </w:r>
      <w:r w:rsidRPr="00FC1F12">
        <w:rPr>
          <w:sz w:val="18"/>
        </w:rPr>
        <w:t>https://doi.org/10.1021/acs.jpcc.0c07983.</w:t>
      </w:r>
    </w:p>
    <w:p w:rsidR="00FC1F12" w:rsidRPr="00FC1F12" w:rsidRDefault="00FC1F12" w:rsidP="00FC1F12">
      <w:pPr>
        <w:pStyle w:val="ListParagraph"/>
        <w:numPr>
          <w:ilvl w:val="0"/>
          <w:numId w:val="3"/>
        </w:numPr>
        <w:rPr>
          <w:sz w:val="18"/>
        </w:rPr>
      </w:pPr>
      <w:r w:rsidRPr="00FC1F12">
        <w:rPr>
          <w:b/>
          <w:bCs/>
          <w:sz w:val="18"/>
        </w:rPr>
        <w:t>Hamid M. Ghaithan</w:t>
      </w:r>
      <w:r w:rsidRPr="00FC1F12">
        <w:rPr>
          <w:sz w:val="18"/>
        </w:rPr>
        <w:t xml:space="preserve">, Z. A. </w:t>
      </w:r>
      <w:proofErr w:type="spellStart"/>
      <w:r w:rsidRPr="00FC1F12">
        <w:rPr>
          <w:sz w:val="18"/>
        </w:rPr>
        <w:t>Alahmed</w:t>
      </w:r>
      <w:proofErr w:type="spellEnd"/>
      <w:r w:rsidRPr="00FC1F12">
        <w:rPr>
          <w:sz w:val="18"/>
        </w:rPr>
        <w:t xml:space="preserve">, </w:t>
      </w:r>
      <w:proofErr w:type="spellStart"/>
      <w:r w:rsidRPr="00FC1F12">
        <w:rPr>
          <w:sz w:val="18"/>
        </w:rPr>
        <w:t>Saif</w:t>
      </w:r>
      <w:proofErr w:type="spellEnd"/>
      <w:r w:rsidRPr="00FC1F12">
        <w:rPr>
          <w:sz w:val="18"/>
        </w:rPr>
        <w:t xml:space="preserve"> M. H. </w:t>
      </w:r>
      <w:proofErr w:type="spellStart"/>
      <w:r w:rsidRPr="00FC1F12">
        <w:rPr>
          <w:sz w:val="18"/>
        </w:rPr>
        <w:t>Qaid</w:t>
      </w:r>
      <w:proofErr w:type="spellEnd"/>
      <w:r w:rsidRPr="00FC1F12">
        <w:rPr>
          <w:sz w:val="18"/>
        </w:rPr>
        <w:t xml:space="preserve">, Abdullah S </w:t>
      </w:r>
      <w:proofErr w:type="spellStart"/>
      <w:r w:rsidRPr="00FC1F12">
        <w:rPr>
          <w:sz w:val="18"/>
        </w:rPr>
        <w:t>Aldwayyan</w:t>
      </w:r>
      <w:proofErr w:type="spellEnd"/>
      <w:r w:rsidRPr="00FC1F12">
        <w:rPr>
          <w:sz w:val="18"/>
        </w:rPr>
        <w:t xml:space="preserve">, “Density Functional Study of Cubic, Tetragonal, and Orthorhombic CsPbBr3 </w:t>
      </w:r>
      <w:proofErr w:type="spellStart"/>
      <w:r w:rsidRPr="00FC1F12">
        <w:rPr>
          <w:sz w:val="18"/>
        </w:rPr>
        <w:t>Perovskite</w:t>
      </w:r>
      <w:proofErr w:type="spellEnd"/>
      <w:r w:rsidRPr="00FC1F12">
        <w:rPr>
          <w:sz w:val="18"/>
        </w:rPr>
        <w:t>”, ACS Omega 2020, 5, 7468−7480. https://doi.org/10.1021/acsomega.0c00197.</w:t>
      </w:r>
    </w:p>
    <w:p w:rsidR="005973B9" w:rsidRDefault="00FC1F12" w:rsidP="00FC1F12">
      <w:pPr>
        <w:pStyle w:val="ListParagraph"/>
        <w:numPr>
          <w:ilvl w:val="0"/>
          <w:numId w:val="3"/>
        </w:numPr>
        <w:tabs>
          <w:tab w:val="left" w:pos="384"/>
        </w:tabs>
        <w:spacing w:before="103" w:line="216" w:lineRule="exact"/>
        <w:ind w:right="138"/>
        <w:rPr>
          <w:sz w:val="18"/>
        </w:rPr>
      </w:pPr>
      <w:r w:rsidRPr="00FC1F12">
        <w:rPr>
          <w:b/>
          <w:bCs/>
          <w:sz w:val="18"/>
        </w:rPr>
        <w:t>Hamid M. Ghaithan</w:t>
      </w:r>
      <w:r w:rsidRPr="00FC1F12">
        <w:rPr>
          <w:sz w:val="18"/>
        </w:rPr>
        <w:t xml:space="preserve">, Z. A. </w:t>
      </w:r>
      <w:proofErr w:type="spellStart"/>
      <w:r w:rsidRPr="00FC1F12">
        <w:rPr>
          <w:sz w:val="18"/>
        </w:rPr>
        <w:t>Alahmed</w:t>
      </w:r>
      <w:proofErr w:type="spellEnd"/>
      <w:r w:rsidRPr="00FC1F12">
        <w:rPr>
          <w:sz w:val="18"/>
        </w:rPr>
        <w:t xml:space="preserve">, </w:t>
      </w:r>
      <w:proofErr w:type="spellStart"/>
      <w:r w:rsidRPr="00FC1F12">
        <w:rPr>
          <w:sz w:val="18"/>
        </w:rPr>
        <w:t>Saif</w:t>
      </w:r>
      <w:proofErr w:type="spellEnd"/>
      <w:r w:rsidRPr="00FC1F12">
        <w:rPr>
          <w:sz w:val="18"/>
        </w:rPr>
        <w:t xml:space="preserve"> M. H. </w:t>
      </w:r>
      <w:proofErr w:type="spellStart"/>
      <w:r w:rsidRPr="00FC1F12">
        <w:rPr>
          <w:sz w:val="18"/>
        </w:rPr>
        <w:t>Qaid</w:t>
      </w:r>
      <w:proofErr w:type="spellEnd"/>
      <w:r w:rsidRPr="00FC1F12">
        <w:rPr>
          <w:sz w:val="18"/>
        </w:rPr>
        <w:t xml:space="preserve">, Abdullah S </w:t>
      </w:r>
      <w:proofErr w:type="spellStart"/>
      <w:r w:rsidRPr="00FC1F12">
        <w:rPr>
          <w:sz w:val="18"/>
        </w:rPr>
        <w:t>Aldwayyan</w:t>
      </w:r>
      <w:proofErr w:type="spellEnd"/>
      <w:r w:rsidRPr="00FC1F12">
        <w:rPr>
          <w:sz w:val="18"/>
        </w:rPr>
        <w:t xml:space="preserve">, “First principle-based calculations of the optoelectronic features of 2 x 2 x 2 </w:t>
      </w:r>
      <w:proofErr w:type="spellStart"/>
      <w:proofErr w:type="gramStart"/>
      <w:r w:rsidRPr="00FC1F12">
        <w:rPr>
          <w:sz w:val="18"/>
        </w:rPr>
        <w:t>CsPb</w:t>
      </w:r>
      <w:proofErr w:type="spellEnd"/>
      <w:r w:rsidRPr="00FC1F12">
        <w:rPr>
          <w:sz w:val="18"/>
        </w:rPr>
        <w:t>(</w:t>
      </w:r>
      <w:proofErr w:type="gramEnd"/>
      <w:r w:rsidRPr="00FC1F12">
        <w:rPr>
          <w:sz w:val="18"/>
        </w:rPr>
        <w:t xml:space="preserve">I1-xBrx)3 </w:t>
      </w:r>
      <w:proofErr w:type="spellStart"/>
      <w:r w:rsidRPr="00FC1F12">
        <w:rPr>
          <w:sz w:val="18"/>
        </w:rPr>
        <w:t>Perovskite</w:t>
      </w:r>
      <w:proofErr w:type="spellEnd"/>
      <w:r w:rsidRPr="00FC1F12">
        <w:rPr>
          <w:sz w:val="18"/>
        </w:rPr>
        <w:t xml:space="preserve">”, </w:t>
      </w:r>
      <w:proofErr w:type="spellStart"/>
      <w:r w:rsidRPr="00FC1F12">
        <w:rPr>
          <w:sz w:val="18"/>
        </w:rPr>
        <w:t>Superlattices</w:t>
      </w:r>
      <w:proofErr w:type="spellEnd"/>
      <w:r w:rsidRPr="00FC1F12">
        <w:rPr>
          <w:sz w:val="18"/>
        </w:rPr>
        <w:t xml:space="preserve"> and Microstructures, </w:t>
      </w:r>
      <w:proofErr w:type="spellStart"/>
      <w:r w:rsidRPr="00FC1F12">
        <w:rPr>
          <w:sz w:val="18"/>
        </w:rPr>
        <w:t>Superlattices</w:t>
      </w:r>
      <w:proofErr w:type="spellEnd"/>
      <w:r w:rsidRPr="00FC1F12">
        <w:rPr>
          <w:sz w:val="18"/>
        </w:rPr>
        <w:t xml:space="preserve"> and Microstructures 140 (2020) 106474. https://doi.org/10.1016/j.spmi.2020.106474</w:t>
      </w:r>
    </w:p>
    <w:p w:rsidR="00FC1F12" w:rsidRPr="00FC1F12" w:rsidRDefault="00FC1F12" w:rsidP="00FC1F12">
      <w:pPr>
        <w:pStyle w:val="ListParagraph"/>
        <w:numPr>
          <w:ilvl w:val="0"/>
          <w:numId w:val="3"/>
        </w:numPr>
        <w:rPr>
          <w:sz w:val="18"/>
        </w:rPr>
      </w:pPr>
      <w:r w:rsidRPr="00FC1F12">
        <w:rPr>
          <w:b/>
          <w:bCs/>
          <w:sz w:val="18"/>
        </w:rPr>
        <w:t>Hamid M. Ghaithan</w:t>
      </w:r>
      <w:r w:rsidRPr="00FC1F12">
        <w:rPr>
          <w:sz w:val="18"/>
        </w:rPr>
        <w:t xml:space="preserve">, </w:t>
      </w:r>
      <w:proofErr w:type="spellStart"/>
      <w:r w:rsidRPr="00FC1F12">
        <w:rPr>
          <w:sz w:val="18"/>
        </w:rPr>
        <w:t>Zeyad</w:t>
      </w:r>
      <w:proofErr w:type="spellEnd"/>
      <w:r w:rsidRPr="00FC1F12">
        <w:rPr>
          <w:sz w:val="18"/>
        </w:rPr>
        <w:t xml:space="preserve">. A. </w:t>
      </w:r>
      <w:proofErr w:type="spellStart"/>
      <w:r w:rsidRPr="00FC1F12">
        <w:rPr>
          <w:sz w:val="18"/>
        </w:rPr>
        <w:t>Alahmed</w:t>
      </w:r>
      <w:proofErr w:type="spellEnd"/>
      <w:r w:rsidRPr="00FC1F12">
        <w:rPr>
          <w:sz w:val="18"/>
        </w:rPr>
        <w:t xml:space="preserve">, Andreas </w:t>
      </w:r>
      <w:proofErr w:type="spellStart"/>
      <w:r w:rsidRPr="00FC1F12">
        <w:rPr>
          <w:sz w:val="18"/>
        </w:rPr>
        <w:t>Lyras</w:t>
      </w:r>
      <w:proofErr w:type="spellEnd"/>
      <w:r w:rsidRPr="00FC1F12">
        <w:rPr>
          <w:sz w:val="18"/>
        </w:rPr>
        <w:t xml:space="preserve">, </w:t>
      </w:r>
      <w:proofErr w:type="spellStart"/>
      <w:r w:rsidRPr="00FC1F12">
        <w:rPr>
          <w:sz w:val="18"/>
        </w:rPr>
        <w:t>Saif</w:t>
      </w:r>
      <w:proofErr w:type="spellEnd"/>
      <w:r w:rsidRPr="00FC1F12">
        <w:rPr>
          <w:sz w:val="18"/>
        </w:rPr>
        <w:t xml:space="preserve"> M. H. </w:t>
      </w:r>
      <w:proofErr w:type="spellStart"/>
      <w:r w:rsidRPr="00FC1F12">
        <w:rPr>
          <w:sz w:val="18"/>
        </w:rPr>
        <w:t>Qaid</w:t>
      </w:r>
      <w:proofErr w:type="spellEnd"/>
      <w:r w:rsidRPr="00FC1F12">
        <w:rPr>
          <w:sz w:val="18"/>
        </w:rPr>
        <w:t xml:space="preserve">, Abdullah S </w:t>
      </w:r>
      <w:proofErr w:type="spellStart"/>
      <w:r w:rsidRPr="00FC1F12">
        <w:rPr>
          <w:sz w:val="18"/>
        </w:rPr>
        <w:t>Aldwayyan</w:t>
      </w:r>
      <w:proofErr w:type="spellEnd"/>
      <w:r w:rsidRPr="00FC1F12">
        <w:rPr>
          <w:sz w:val="18"/>
        </w:rPr>
        <w:t xml:space="preserve">, “Computational investigation of structural, electronic and optical properties of cesium lead </w:t>
      </w:r>
      <w:proofErr w:type="spellStart"/>
      <w:r w:rsidRPr="00FC1F12">
        <w:rPr>
          <w:sz w:val="18"/>
        </w:rPr>
        <w:t>Cloride</w:t>
      </w:r>
      <w:proofErr w:type="spellEnd"/>
      <w:r w:rsidRPr="00FC1F12">
        <w:rPr>
          <w:sz w:val="18"/>
        </w:rPr>
        <w:t xml:space="preserve"> bromide compounds </w:t>
      </w:r>
      <w:proofErr w:type="spellStart"/>
      <w:proofErr w:type="gramStart"/>
      <w:r w:rsidRPr="00FC1F12">
        <w:rPr>
          <w:sz w:val="18"/>
        </w:rPr>
        <w:t>CsPb</w:t>
      </w:r>
      <w:proofErr w:type="spellEnd"/>
      <w:r w:rsidRPr="00FC1F12">
        <w:rPr>
          <w:sz w:val="18"/>
        </w:rPr>
        <w:t>(</w:t>
      </w:r>
      <w:proofErr w:type="gramEnd"/>
      <w:r w:rsidRPr="00FC1F12">
        <w:rPr>
          <w:sz w:val="18"/>
        </w:rPr>
        <w:t xml:space="preserve">Br1-xClx)3 </w:t>
      </w:r>
      <w:proofErr w:type="spellStart"/>
      <w:r w:rsidRPr="00FC1F12">
        <w:rPr>
          <w:sz w:val="18"/>
        </w:rPr>
        <w:t>Perovskite</w:t>
      </w:r>
      <w:proofErr w:type="spellEnd"/>
      <w:r w:rsidRPr="00FC1F12">
        <w:rPr>
          <w:sz w:val="18"/>
        </w:rPr>
        <w:t>” Crystals 2020, 10 (5), 342. Crystals 2020, 10(5), 342; https://doi.org/10.3390/cryst10050342.</w:t>
      </w:r>
    </w:p>
    <w:p w:rsidR="00FC1F12" w:rsidRPr="00FC1F12" w:rsidRDefault="00FC1F12" w:rsidP="00FC1F12">
      <w:pPr>
        <w:pStyle w:val="ListParagraph"/>
        <w:numPr>
          <w:ilvl w:val="0"/>
          <w:numId w:val="3"/>
        </w:numPr>
        <w:rPr>
          <w:sz w:val="18"/>
        </w:rPr>
      </w:pPr>
      <w:r w:rsidRPr="00FC1F12">
        <w:rPr>
          <w:b/>
          <w:bCs/>
          <w:sz w:val="18"/>
        </w:rPr>
        <w:t>Hamid M. Ghaithan</w:t>
      </w:r>
      <w:r w:rsidRPr="00FC1F12">
        <w:rPr>
          <w:sz w:val="18"/>
        </w:rPr>
        <w:t xml:space="preserve">, </w:t>
      </w:r>
      <w:proofErr w:type="spellStart"/>
      <w:r w:rsidRPr="00FC1F12">
        <w:rPr>
          <w:sz w:val="18"/>
        </w:rPr>
        <w:t>Zeyad</w:t>
      </w:r>
      <w:proofErr w:type="spellEnd"/>
      <w:r w:rsidRPr="00FC1F12">
        <w:rPr>
          <w:sz w:val="18"/>
        </w:rPr>
        <w:t xml:space="preserve">. A. </w:t>
      </w:r>
      <w:proofErr w:type="spellStart"/>
      <w:r w:rsidRPr="00FC1F12">
        <w:rPr>
          <w:sz w:val="18"/>
        </w:rPr>
        <w:t>Alahmed</w:t>
      </w:r>
      <w:proofErr w:type="spellEnd"/>
      <w:r w:rsidRPr="00FC1F12">
        <w:rPr>
          <w:sz w:val="18"/>
        </w:rPr>
        <w:t xml:space="preserve">, Andreas </w:t>
      </w:r>
      <w:proofErr w:type="spellStart"/>
      <w:r w:rsidRPr="00FC1F12">
        <w:rPr>
          <w:sz w:val="18"/>
        </w:rPr>
        <w:t>Lyras</w:t>
      </w:r>
      <w:proofErr w:type="spellEnd"/>
      <w:r w:rsidRPr="00FC1F12">
        <w:rPr>
          <w:sz w:val="18"/>
        </w:rPr>
        <w:t xml:space="preserve">, </w:t>
      </w:r>
      <w:proofErr w:type="spellStart"/>
      <w:r w:rsidRPr="00FC1F12">
        <w:rPr>
          <w:sz w:val="18"/>
        </w:rPr>
        <w:t>Saif</w:t>
      </w:r>
      <w:proofErr w:type="spellEnd"/>
      <w:r w:rsidRPr="00FC1F12">
        <w:rPr>
          <w:sz w:val="18"/>
        </w:rPr>
        <w:t xml:space="preserve"> M. H. </w:t>
      </w:r>
      <w:proofErr w:type="spellStart"/>
      <w:r w:rsidRPr="00FC1F12">
        <w:rPr>
          <w:sz w:val="18"/>
        </w:rPr>
        <w:t>Qaid</w:t>
      </w:r>
      <w:proofErr w:type="spellEnd"/>
      <w:r w:rsidRPr="00FC1F12">
        <w:rPr>
          <w:sz w:val="18"/>
        </w:rPr>
        <w:t xml:space="preserve">, Abdullah S </w:t>
      </w:r>
      <w:proofErr w:type="spellStart"/>
      <w:r w:rsidRPr="00FC1F12">
        <w:rPr>
          <w:sz w:val="18"/>
        </w:rPr>
        <w:t>Aldwayyan</w:t>
      </w:r>
      <w:proofErr w:type="spellEnd"/>
      <w:r w:rsidRPr="00FC1F12">
        <w:rPr>
          <w:sz w:val="18"/>
        </w:rPr>
        <w:t xml:space="preserve">, “Structural, Electronic, and Optical Properties of </w:t>
      </w:r>
      <w:proofErr w:type="spellStart"/>
      <w:proofErr w:type="gramStart"/>
      <w:r w:rsidRPr="00FC1F12">
        <w:rPr>
          <w:sz w:val="18"/>
        </w:rPr>
        <w:t>CsPb</w:t>
      </w:r>
      <w:proofErr w:type="spellEnd"/>
      <w:r w:rsidRPr="00FC1F12">
        <w:rPr>
          <w:sz w:val="18"/>
        </w:rPr>
        <w:t>(</w:t>
      </w:r>
      <w:proofErr w:type="gramEnd"/>
      <w:r w:rsidRPr="00FC1F12">
        <w:rPr>
          <w:sz w:val="18"/>
        </w:rPr>
        <w:t xml:space="preserve">Br1−xClx)3 </w:t>
      </w:r>
      <w:proofErr w:type="spellStart"/>
      <w:r w:rsidRPr="00FC1F12">
        <w:rPr>
          <w:sz w:val="18"/>
        </w:rPr>
        <w:t>Perovskite</w:t>
      </w:r>
      <w:proofErr w:type="spellEnd"/>
      <w:r w:rsidRPr="00FC1F12">
        <w:rPr>
          <w:sz w:val="18"/>
        </w:rPr>
        <w:t xml:space="preserve">: First-Principles Study with PBE–GGA and </w:t>
      </w:r>
      <w:proofErr w:type="spellStart"/>
      <w:r w:rsidRPr="00FC1F12">
        <w:rPr>
          <w:sz w:val="18"/>
        </w:rPr>
        <w:t>mBJ</w:t>
      </w:r>
      <w:proofErr w:type="spellEnd"/>
      <w:r w:rsidRPr="00FC1F12">
        <w:rPr>
          <w:sz w:val="18"/>
        </w:rPr>
        <w:t>–GGA Methods”, Materials 2020, 13(21), 4944.  https://doi.org/10.3390/ma13214944.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FC1F12">
      <w:pPr>
        <w:pStyle w:val="BodyText"/>
        <w:spacing w:line="40" w:lineRule="exact"/>
        <w:ind w:left="2202"/>
        <w:rPr>
          <w:rFonts w:ascii="Calibri"/>
          <w:sz w:val="4"/>
        </w:rPr>
      </w:pPr>
      <w:r>
        <w:rPr>
          <w:rFonts w:ascii="Arial"/>
          <w:noProof/>
          <w:color w:val="BF5A14"/>
        </w:rPr>
        <w:drawing>
          <wp:anchor distT="0" distB="0" distL="114300" distR="114300" simplePos="0" relativeHeight="251660800" behindDoc="0" locked="0" layoutInCell="1" allowOverlap="1" wp14:anchorId="0E17FFBF" wp14:editId="49BB0CDD">
            <wp:simplePos x="0" y="0"/>
            <wp:positionH relativeFrom="column">
              <wp:posOffset>163830</wp:posOffset>
            </wp:positionH>
            <wp:positionV relativeFrom="paragraph">
              <wp:posOffset>5715</wp:posOffset>
            </wp:positionV>
            <wp:extent cx="498475" cy="7150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8475" cy="715010"/>
                    </a:xfrm>
                    <a:prstGeom prst="rect">
                      <a:avLst/>
                    </a:prstGeom>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5BDABD3A" wp14:editId="719A413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07ECF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FC1F12">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FC1F12" w:rsidRPr="00FC1F12" w:rsidRDefault="00FC1F12" w:rsidP="00FC1F12">
      <w:pPr>
        <w:spacing w:before="41" w:line="154" w:lineRule="exact"/>
        <w:ind w:left="213" w:right="231"/>
        <w:jc w:val="both"/>
        <w:rPr>
          <w:rFonts w:ascii="Arial"/>
          <w:sz w:val="14"/>
        </w:rPr>
      </w:pPr>
      <w:r w:rsidRPr="00FC1F12">
        <w:rPr>
          <w:rFonts w:ascii="Arial"/>
          <w:sz w:val="14"/>
        </w:rPr>
        <w:t xml:space="preserve">Hamid M. Ghaithan is currently a PhD student at King Saud University and works with Prof </w:t>
      </w:r>
      <w:proofErr w:type="spellStart"/>
      <w:r w:rsidRPr="00FC1F12">
        <w:rPr>
          <w:rFonts w:ascii="Arial"/>
          <w:sz w:val="14"/>
        </w:rPr>
        <w:t>Aldwayyan</w:t>
      </w:r>
      <w:proofErr w:type="spellEnd"/>
      <w:r w:rsidRPr="00FC1F12">
        <w:rPr>
          <w:rFonts w:ascii="Arial"/>
          <w:sz w:val="14"/>
        </w:rPr>
        <w:t xml:space="preserve">. His work focuses on the DFT investigation of the structural, electronic and optical properties of organic-inorganic </w:t>
      </w:r>
      <w:proofErr w:type="spellStart"/>
      <w:r w:rsidRPr="00FC1F12">
        <w:rPr>
          <w:rFonts w:ascii="Arial"/>
          <w:sz w:val="14"/>
        </w:rPr>
        <w:t>perovskites</w:t>
      </w:r>
      <w:proofErr w:type="spellEnd"/>
      <w:r w:rsidRPr="00FC1F12">
        <w:rPr>
          <w:rFonts w:ascii="Arial"/>
          <w:sz w:val="14"/>
        </w:rPr>
        <w:t>. More than 25 scientific papers have been published in ISI journals.</w:t>
      </w:r>
    </w:p>
    <w:p w:rsidR="00FC1F12" w:rsidRDefault="00000DFB" w:rsidP="00FC1F12">
      <w:pPr>
        <w:spacing w:before="41" w:line="154" w:lineRule="exact"/>
        <w:ind w:left="213" w:right="231"/>
        <w:jc w:val="both"/>
        <w:rPr>
          <w:rFonts w:ascii="Arial"/>
          <w:sz w:val="14"/>
        </w:rPr>
      </w:pPr>
      <w:hyperlink r:id="rId11" w:history="1">
        <w:r w:rsidRPr="00A9793F">
          <w:rPr>
            <w:rStyle w:val="Hyperlink"/>
            <w:rFonts w:ascii="Arial"/>
            <w:sz w:val="14"/>
          </w:rPr>
          <w:t>https://scholar.google.com/citations?hl=en&amp;user=8_1uX8UAAAAJ&amp;view_op=list_works&amp;sortby=pubdate</w:t>
        </w:r>
      </w:hyperlink>
    </w:p>
    <w:p w:rsidR="00000DFB" w:rsidRPr="00FC1F12" w:rsidRDefault="00000DFB" w:rsidP="00FC1F12">
      <w:pPr>
        <w:spacing w:before="41" w:line="154" w:lineRule="exact"/>
        <w:ind w:left="213" w:right="231"/>
        <w:jc w:val="both"/>
        <w:rPr>
          <w:rFonts w:ascii="Arial"/>
          <w:sz w:val="14"/>
        </w:rPr>
      </w:pPr>
      <w:bookmarkStart w:id="0" w:name="_GoBack"/>
      <w:bookmarkEnd w:id="0"/>
    </w:p>
    <w:p w:rsidR="00FC1F12" w:rsidRDefault="00A9710C" w:rsidP="00FC1F12">
      <w:pPr>
        <w:spacing w:before="62"/>
        <w:ind w:left="4217" w:right="4235"/>
        <w:jc w:val="center"/>
        <w:rPr>
          <w:rFonts w:ascii="Arial"/>
          <w:sz w:val="14"/>
        </w:rPr>
      </w:pPr>
      <w:r>
        <w:rPr>
          <w:rFonts w:ascii="Arial"/>
          <w:sz w:val="14"/>
        </w:rPr>
        <w:t xml:space="preserve">Email: </w:t>
      </w:r>
      <w:hyperlink r:id="rId12" w:history="1">
        <w:r w:rsidR="00FC1F12" w:rsidRPr="00A9793F">
          <w:rPr>
            <w:rStyle w:val="Hyperlink"/>
            <w:rFonts w:ascii="Arial"/>
            <w:sz w:val="14"/>
          </w:rPr>
          <w:t>hghaithan@ksu.edu.sa</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8584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D88" w:rsidRDefault="00F43D88">
      <w:r>
        <w:separator/>
      </w:r>
    </w:p>
  </w:endnote>
  <w:endnote w:type="continuationSeparator" w:id="0">
    <w:p w:rsidR="00F43D88" w:rsidRDefault="00F43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D88" w:rsidRDefault="00F43D88">
      <w:r>
        <w:separator/>
      </w:r>
    </w:p>
  </w:footnote>
  <w:footnote w:type="continuationSeparator" w:id="0">
    <w:p w:rsidR="00F43D88" w:rsidRDefault="00F43D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M0NrcwsTQyMDQzMzNX0lEKTi0uzszPAykwrAUAXV1I0iwAAAA="/>
  </w:docVars>
  <w:rsids>
    <w:rsidRoot w:val="00AE3E37"/>
    <w:rsid w:val="00000DFB"/>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43D88"/>
    <w:rsid w:val="00F72EEA"/>
    <w:rsid w:val="00F84CAE"/>
    <w:rsid w:val="00FC1F12"/>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C77A90-2F43-446A-A79E-F014ABA1A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ghaithan@ksu.edu.sa" TargetMode="External"/><Relationship Id="rId12" Type="http://schemas.openxmlformats.org/officeDocument/2006/relationships/hyperlink" Target="mailto:hghaithan@ksu.edu.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com/citations?hl=en&amp;user=8_1uX8UAAAAJ&amp;view_op=list_works&amp;sortby=pubdate"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Hamid Ghaithan</cp:lastModifiedBy>
  <cp:revision>3</cp:revision>
  <dcterms:created xsi:type="dcterms:W3CDTF">2021-02-04T18:54:00Z</dcterms:created>
  <dcterms:modified xsi:type="dcterms:W3CDTF">2021-02-04T18:54:00Z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