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22158" w14:textId="6A2ED567" w:rsidR="00AE3E37" w:rsidRDefault="00DA2BAB" w:rsidP="00BC5F68">
      <w:pPr>
        <w:pStyle w:val="Heading1"/>
        <w:spacing w:before="170"/>
        <w:ind w:left="0"/>
        <w:jc w:val="center"/>
      </w:pPr>
      <w:r w:rsidRPr="00DA2BAB">
        <w:rPr>
          <w:color w:val="0070C0"/>
        </w:rPr>
        <w:t xml:space="preserve">The </w:t>
      </w:r>
      <w:r w:rsidR="00223F29">
        <w:rPr>
          <w:color w:val="0070C0"/>
        </w:rPr>
        <w:t>D</w:t>
      </w:r>
      <w:r w:rsidRPr="00DA2BAB">
        <w:rPr>
          <w:color w:val="0070C0"/>
        </w:rPr>
        <w:t>awning of the Age of Materials and its collision course with humanities sustainable future</w:t>
      </w:r>
    </w:p>
    <w:p w14:paraId="073707C5" w14:textId="5A156F51" w:rsidR="00AE3E37" w:rsidRPr="00B913CA" w:rsidRDefault="00DA2BAB" w:rsidP="00B913CA">
      <w:pPr>
        <w:pStyle w:val="BodyText"/>
        <w:spacing w:before="73" w:line="198" w:lineRule="exact"/>
        <w:ind w:left="100" w:right="5987"/>
        <w:rPr>
          <w:rFonts w:ascii="Arial"/>
        </w:rPr>
        <w:sectPr w:rsidR="00AE3E37" w:rsidRPr="00B913CA">
          <w:headerReference w:type="default" r:id="rId7"/>
          <w:footerReference w:type="default" r:id="rId8"/>
          <w:type w:val="continuous"/>
          <w:pgSz w:w="11910" w:h="16840"/>
          <w:pgMar w:top="1740" w:right="600" w:bottom="840" w:left="620" w:header="541" w:footer="642" w:gutter="0"/>
          <w:cols w:space="720"/>
        </w:sectPr>
      </w:pPr>
      <w:r>
        <w:rPr>
          <w:rFonts w:ascii="Arial"/>
        </w:rPr>
        <w:t>Tony Green</w:t>
      </w:r>
      <w:r w:rsidR="005973B9">
        <w:rPr>
          <w:rFonts w:ascii="Arial"/>
        </w:rPr>
        <w:t xml:space="preserve">, </w:t>
      </w:r>
      <w:proofErr w:type="spellStart"/>
      <w:proofErr w:type="gramStart"/>
      <w:r>
        <w:rPr>
          <w:rFonts w:ascii="Arial"/>
        </w:rPr>
        <w:t>B.ChE</w:t>
      </w:r>
      <w:proofErr w:type="spellEnd"/>
      <w:proofErr w:type="gramEnd"/>
      <w:r>
        <w:rPr>
          <w:rFonts w:ascii="Arial"/>
        </w:rPr>
        <w:t>, M.B.A.  Speaking Green Communications</w:t>
      </w:r>
      <w:r w:rsidR="005973B9">
        <w:rPr>
          <w:rFonts w:ascii="Arial"/>
        </w:rPr>
        <w:t xml:space="preserve">, </w:t>
      </w:r>
      <w:r>
        <w:rPr>
          <w:rFonts w:ascii="Arial"/>
        </w:rPr>
        <w:t xml:space="preserve">Livermore, California </w:t>
      </w:r>
      <w:r w:rsidR="005973B9">
        <w:rPr>
          <w:rFonts w:ascii="Arial"/>
        </w:rPr>
        <w:t>USA</w:t>
      </w:r>
    </w:p>
    <w:p w14:paraId="5A949ED6" w14:textId="5863BC56" w:rsidR="00223F29" w:rsidRDefault="00A9710C">
      <w:pPr>
        <w:pStyle w:val="Heading3"/>
        <w:spacing w:before="147"/>
        <w:jc w:val="both"/>
        <w:rPr>
          <w:color w:val="BF5A14"/>
        </w:rPr>
      </w:pPr>
      <w:r>
        <w:rPr>
          <w:color w:val="BF5A14"/>
        </w:rPr>
        <w:t>Abstract</w:t>
      </w:r>
      <w:r w:rsidR="00404E5B">
        <w:rPr>
          <w:color w:val="BF5A14"/>
        </w:rPr>
        <w:t xml:space="preserve"> (300</w:t>
      </w:r>
      <w:r w:rsidR="00BC5F68">
        <w:rPr>
          <w:color w:val="BF5A14"/>
        </w:rPr>
        <w:t>-</w:t>
      </w:r>
      <w:r w:rsidR="00404E5B">
        <w:rPr>
          <w:color w:val="BF5A14"/>
        </w:rPr>
        <w:t>word limit)</w:t>
      </w:r>
    </w:p>
    <w:p w14:paraId="053D2243" w14:textId="77777777" w:rsidR="00B913CA" w:rsidRPr="00B913CA" w:rsidRDefault="00B913CA">
      <w:pPr>
        <w:pStyle w:val="Heading3"/>
        <w:spacing w:before="147"/>
        <w:jc w:val="both"/>
        <w:rPr>
          <w:color w:val="BF5A14"/>
        </w:rPr>
      </w:pPr>
    </w:p>
    <w:p w14:paraId="5706E67F" w14:textId="77777777" w:rsidR="00064E1B" w:rsidRPr="00483E49" w:rsidRDefault="00064E1B" w:rsidP="00064E1B">
      <w:bookmarkStart w:id="0" w:name="_Hlk536517522"/>
      <w:r w:rsidRPr="00483E49">
        <w:t xml:space="preserve">Statement of the Problem: From the beginning of the dawn of civilization materials have been used to create products needed for life.  </w:t>
      </w:r>
      <w:r w:rsidRPr="00483E49">
        <w:rPr>
          <w:rFonts w:cstheme="minorHAnsi"/>
        </w:rPr>
        <w:t>Materials by themselves are not particularly useful. The usefulness of many products created from materials can be debated. What is not in question is human beings desire the services or benefits delivered by materials once converted into products.</w:t>
      </w:r>
    </w:p>
    <w:p w14:paraId="3EC58688" w14:textId="77777777" w:rsidR="00064E1B" w:rsidRPr="00483E49" w:rsidRDefault="00064E1B" w:rsidP="00064E1B">
      <w:r w:rsidRPr="00483E49">
        <w:t xml:space="preserve">The material requirements need to advance as humanities technology advances.  Among these requirements include not only the materials properties which affect their selection but reducing the impact of extraction, disposal, and processes associated with converting materials to products.   </w:t>
      </w:r>
    </w:p>
    <w:p w14:paraId="0870C393" w14:textId="11069A17" w:rsidR="00223F29" w:rsidRPr="00B913CA" w:rsidRDefault="00064E1B" w:rsidP="00223F29">
      <w:r w:rsidRPr="00483E49">
        <w:t>As society becomes more sustainable not only will our processes need to be modified but the materials which comprise technology will need to evolve.  The process which materials are created will need a radical shift to ensure the problems of tomorrow can be solved. Using a biomimetic process, which simulates nature, future materials engineers will able to design novel materials which will enable the creation the products which will be the cornerstone of the sustainable future.</w:t>
      </w:r>
      <w:bookmarkEnd w:id="0"/>
      <w:r w:rsidRPr="00483E49">
        <w:t xml:space="preserve"> The materials of our sustainable future will require </w:t>
      </w:r>
      <w:r w:rsidRPr="00483E49">
        <w:rPr>
          <w:rFonts w:cstheme="minorHAnsi"/>
          <w:szCs w:val="24"/>
        </w:rPr>
        <w:t>the scientists and engineers of tomorrow to embrace the complexity and anticipate potential trade-offs</w:t>
      </w:r>
      <w:r w:rsidRPr="00483E49">
        <w:rPr>
          <w:rFonts w:cstheme="minorHAnsi"/>
          <w:sz w:val="24"/>
          <w:szCs w:val="24"/>
        </w:rPr>
        <w:t xml:space="preserve"> </w:t>
      </w:r>
      <w:r w:rsidRPr="00483E49">
        <w:rPr>
          <w:rFonts w:ascii="Calibri" w:hAnsi="Calibri" w:cs="Calibri"/>
          <w:szCs w:val="24"/>
        </w:rPr>
        <w:t>in order optimize to the services which benefits everyone.</w:t>
      </w:r>
      <w:bookmarkStart w:id="1" w:name="_GoBack"/>
      <w:bookmarkEnd w:id="1"/>
    </w:p>
    <w:p w14:paraId="7B2AF7E1" w14:textId="77777777" w:rsidR="00BC5F68" w:rsidRDefault="00A9710C">
      <w:pPr>
        <w:pStyle w:val="Heading3"/>
        <w:spacing w:before="74"/>
        <w:rPr>
          <w:b w:val="0"/>
        </w:rPr>
      </w:pPr>
      <w:r>
        <w:rPr>
          <w:b w:val="0"/>
        </w:rPr>
        <w:br w:type="column"/>
      </w:r>
    </w:p>
    <w:p w14:paraId="2E258F33" w14:textId="2AD9A8BC" w:rsidR="00AE3E37" w:rsidRDefault="00A9710C">
      <w:pPr>
        <w:pStyle w:val="Heading3"/>
        <w:spacing w:before="74"/>
      </w:pPr>
      <w:r>
        <w:rPr>
          <w:color w:val="BF5A14"/>
        </w:rPr>
        <w:t>Image</w:t>
      </w:r>
    </w:p>
    <w:p w14:paraId="71F36A3F" w14:textId="6C771669" w:rsidR="00AE3E37" w:rsidRDefault="00223F29">
      <w:pPr>
        <w:pStyle w:val="BodyText"/>
        <w:spacing w:before="2"/>
        <w:rPr>
          <w:rFonts w:ascii="Arial"/>
          <w:b/>
          <w:sz w:val="16"/>
        </w:rPr>
      </w:pPr>
      <w:r>
        <w:rPr>
          <w:noProof/>
        </w:rPr>
        <w:drawing>
          <wp:inline distT="0" distB="0" distL="0" distR="0" wp14:anchorId="6D3E047D" wp14:editId="6BF3EABB">
            <wp:extent cx="3165475" cy="21075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107565"/>
                    </a:xfrm>
                    <a:prstGeom prst="rect">
                      <a:avLst/>
                    </a:prstGeom>
                    <a:noFill/>
                    <a:ln>
                      <a:noFill/>
                    </a:ln>
                  </pic:spPr>
                </pic:pic>
              </a:graphicData>
            </a:graphic>
          </wp:inline>
        </w:drawing>
      </w:r>
    </w:p>
    <w:p w14:paraId="223FE11C" w14:textId="3BAA0BD8" w:rsidR="005973B9" w:rsidRDefault="005973B9" w:rsidP="005973B9">
      <w:pPr>
        <w:spacing w:line="204" w:lineRule="exact"/>
        <w:rPr>
          <w:rFonts w:ascii="Arial"/>
          <w:b/>
          <w:sz w:val="20"/>
        </w:rPr>
      </w:pPr>
      <w:r>
        <w:rPr>
          <w:rFonts w:ascii="Arial"/>
          <w:b/>
          <w:color w:val="BF5A14"/>
          <w:sz w:val="20"/>
        </w:rPr>
        <w:br/>
        <w:t>Recent Publications</w:t>
      </w:r>
    </w:p>
    <w:p w14:paraId="07ABAA25" w14:textId="0BDD7BC0" w:rsidR="005973B9" w:rsidRPr="00BC5F68" w:rsidRDefault="00223F29" w:rsidP="005973B9">
      <w:pPr>
        <w:pStyle w:val="ListParagraph"/>
        <w:numPr>
          <w:ilvl w:val="0"/>
          <w:numId w:val="3"/>
        </w:numPr>
        <w:tabs>
          <w:tab w:val="left" w:pos="384"/>
        </w:tabs>
        <w:spacing w:before="103" w:line="216" w:lineRule="exact"/>
        <w:ind w:right="138" w:hanging="283"/>
        <w:rPr>
          <w:rFonts w:asciiTheme="minorHAnsi" w:hAnsiTheme="minorHAnsi" w:cstheme="minorHAnsi"/>
          <w:sz w:val="12"/>
        </w:rPr>
      </w:pPr>
      <w:r w:rsidRPr="00BC5F68">
        <w:rPr>
          <w:rFonts w:asciiTheme="minorHAnsi" w:eastAsiaTheme="minorHAnsi" w:hAnsiTheme="minorHAnsi" w:cstheme="minorHAnsi"/>
          <w:sz w:val="18"/>
        </w:rPr>
        <w:t>Tony Green (2018) Chemical Engineers: Untold Contribution to Humanity: Nessa J Chemical Engineering</w:t>
      </w:r>
    </w:p>
    <w:p w14:paraId="3C15D9E7" w14:textId="45166A4C" w:rsidR="00AE3E37" w:rsidRPr="008756E6" w:rsidRDefault="00AE3E37" w:rsidP="00223F29">
      <w:pPr>
        <w:pStyle w:val="ListParagraph"/>
        <w:tabs>
          <w:tab w:val="left" w:pos="384"/>
        </w:tabs>
        <w:spacing w:line="216" w:lineRule="exact"/>
        <w:ind w:right="137" w:firstLine="0"/>
      </w:pPr>
    </w:p>
    <w:p w14:paraId="2D554B6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C3AC27A" w14:textId="77777777" w:rsidR="00AE3E37" w:rsidRDefault="00AE3E37">
      <w:pPr>
        <w:pStyle w:val="BodyText"/>
        <w:rPr>
          <w:rFonts w:ascii="Calibri"/>
          <w:sz w:val="20"/>
        </w:rPr>
      </w:pPr>
    </w:p>
    <w:p w14:paraId="3543992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60C327C" wp14:editId="7CF9B1D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69D7E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9119D0E" w14:textId="4F682A62" w:rsidR="00BC5F68" w:rsidRDefault="008756E6" w:rsidP="00404E5B">
      <w:pPr>
        <w:spacing w:before="92"/>
        <w:ind w:right="4234"/>
        <w:rPr>
          <w:noProof/>
        </w:rPr>
      </w:pPr>
      <w:r>
        <w:rPr>
          <w:noProof/>
        </w:rPr>
        <w:t xml:space="preserve">    </w:t>
      </w:r>
      <w:r w:rsidR="00DA2BAB">
        <w:rPr>
          <w:noProof/>
        </w:rPr>
        <w:drawing>
          <wp:inline distT="0" distB="0" distL="0" distR="0" wp14:anchorId="0ACD3B00" wp14:editId="74668C8B">
            <wp:extent cx="1080770" cy="1081558"/>
            <wp:effectExtent l="0" t="0" r="508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0770" cy="1081558"/>
                    </a:xfrm>
                    <a:prstGeom prst="rect">
                      <a:avLst/>
                    </a:prstGeom>
                    <a:noFill/>
                  </pic:spPr>
                </pic:pic>
              </a:graphicData>
            </a:graphic>
          </wp:inline>
        </w:drawing>
      </w:r>
    </w:p>
    <w:p w14:paraId="7D57A7BC" w14:textId="315F1C14" w:rsidR="00AE3E37" w:rsidRDefault="00BC5F68" w:rsidP="00404E5B">
      <w:pPr>
        <w:spacing w:before="92"/>
        <w:ind w:right="4234"/>
        <w:rPr>
          <w:rFonts w:ascii="Arial"/>
        </w:rPr>
      </w:pPr>
      <w:r>
        <w:rPr>
          <w:rFonts w:ascii="Arial"/>
          <w:color w:val="BF5A14"/>
        </w:rPr>
        <w:t xml:space="preserve">    </w:t>
      </w:r>
      <w:r w:rsidR="00A9710C">
        <w:rPr>
          <w:rFonts w:ascii="Arial"/>
          <w:color w:val="BF5A14"/>
        </w:rPr>
        <w:t>Biography</w:t>
      </w:r>
    </w:p>
    <w:p w14:paraId="26CAE271" w14:textId="4F9A3679" w:rsidR="00AE3E37" w:rsidRPr="00223F29" w:rsidRDefault="00223F29">
      <w:pPr>
        <w:spacing w:before="41" w:line="154" w:lineRule="exact"/>
        <w:ind w:left="213" w:right="231"/>
        <w:jc w:val="both"/>
        <w:rPr>
          <w:rFonts w:ascii="Arial"/>
          <w:sz w:val="14"/>
        </w:rPr>
      </w:pPr>
      <w:r w:rsidRPr="00223F29">
        <w:rPr>
          <w:rFonts w:ascii="Arial"/>
          <w:sz w:val="14"/>
        </w:rPr>
        <w:t xml:space="preserve">Clean-tech and Sustainability educator/professional, Tony Green is known as a voice of sustainability and the adoption of alternative energy technologies. Using his 20+ years of experience in high-tech and clean-tech as engineer and later in sales and marketing and teaching allow him to speak </w:t>
      </w:r>
      <w:r w:rsidRPr="00223F29">
        <w:rPr>
          <w:rFonts w:ascii="Arial"/>
          <w:sz w:val="14"/>
        </w:rPr>
        <w:t>“</w:t>
      </w:r>
      <w:r w:rsidRPr="00223F29">
        <w:rPr>
          <w:rFonts w:ascii="Arial"/>
          <w:sz w:val="14"/>
        </w:rPr>
        <w:t>engineer</w:t>
      </w:r>
      <w:r w:rsidRPr="00223F29">
        <w:rPr>
          <w:rFonts w:ascii="Arial"/>
          <w:sz w:val="14"/>
        </w:rPr>
        <w:t>”</w:t>
      </w:r>
      <w:r w:rsidRPr="00223F29">
        <w:rPr>
          <w:rFonts w:ascii="Arial"/>
          <w:sz w:val="14"/>
        </w:rPr>
        <w:t xml:space="preserve"> as well as </w:t>
      </w:r>
      <w:r w:rsidRPr="00223F29">
        <w:rPr>
          <w:rFonts w:ascii="Arial"/>
          <w:sz w:val="14"/>
        </w:rPr>
        <w:t>“</w:t>
      </w:r>
      <w:r w:rsidRPr="00223F29">
        <w:rPr>
          <w:rFonts w:ascii="Arial"/>
          <w:sz w:val="14"/>
        </w:rPr>
        <w:t>people</w:t>
      </w:r>
      <w:r w:rsidRPr="00223F29">
        <w:rPr>
          <w:rFonts w:ascii="Arial"/>
          <w:sz w:val="14"/>
        </w:rPr>
        <w:t>”</w:t>
      </w:r>
      <w:r w:rsidRPr="00223F29">
        <w:rPr>
          <w:rFonts w:ascii="Arial"/>
          <w:sz w:val="14"/>
        </w:rPr>
        <w:t xml:space="preserve"> while explaining complicated topics in easy to understand terminology. Tony education includes a Bachelor of Science in Chemical Engineering from the University of Delaware as well as a M.B.A. with a focus on Technology Management for the University of Phoenix</w:t>
      </w:r>
      <w:r>
        <w:rPr>
          <w:rFonts w:ascii="Arial"/>
          <w:sz w:val="14"/>
        </w:rPr>
        <w:t>.</w:t>
      </w:r>
    </w:p>
    <w:p w14:paraId="505DC85D" w14:textId="7D55BD92" w:rsidR="00AE3E37" w:rsidRDefault="00A9710C">
      <w:pPr>
        <w:spacing w:before="62"/>
        <w:ind w:left="4217" w:right="4235"/>
        <w:jc w:val="center"/>
        <w:rPr>
          <w:rFonts w:ascii="Arial"/>
          <w:sz w:val="14"/>
        </w:rPr>
      </w:pPr>
      <w:r>
        <w:rPr>
          <w:rFonts w:ascii="Arial"/>
          <w:sz w:val="14"/>
        </w:rPr>
        <w:t xml:space="preserve">Email: </w:t>
      </w:r>
      <w:r w:rsidR="00DA2BAB">
        <w:rPr>
          <w:rFonts w:ascii="Arial"/>
          <w:sz w:val="14"/>
        </w:rPr>
        <w:t xml:space="preserve">tonygreen@speakinggreencommunications.com </w:t>
      </w:r>
    </w:p>
    <w:p w14:paraId="38DC844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7DEC36D" wp14:editId="77FC04C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5213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3A9E246" w14:textId="77777777" w:rsidR="00AE3E37" w:rsidRDefault="00AE3E37">
      <w:pPr>
        <w:pStyle w:val="BodyText"/>
        <w:rPr>
          <w:rFonts w:ascii="Arial"/>
          <w:sz w:val="20"/>
        </w:rPr>
      </w:pPr>
    </w:p>
    <w:p w14:paraId="075A765E" w14:textId="77777777" w:rsidR="00AE3E37" w:rsidRDefault="00AE3E37">
      <w:pPr>
        <w:pStyle w:val="BodyText"/>
        <w:spacing w:before="7"/>
        <w:rPr>
          <w:rFonts w:ascii="Arial"/>
          <w:sz w:val="29"/>
        </w:rPr>
      </w:pPr>
    </w:p>
    <w:p w14:paraId="347BACF2" w14:textId="77777777" w:rsidR="00AE3E37" w:rsidRPr="00B21A57" w:rsidRDefault="00A9710C">
      <w:pPr>
        <w:spacing w:before="39"/>
        <w:ind w:left="100"/>
        <w:rPr>
          <w:rFonts w:ascii="Minion Pro"/>
          <w:b/>
          <w:sz w:val="20"/>
        </w:rPr>
      </w:pPr>
      <w:r w:rsidRPr="00B21A57">
        <w:rPr>
          <w:rFonts w:ascii="Minion Pro"/>
          <w:b/>
          <w:sz w:val="20"/>
        </w:rPr>
        <w:t>Notes/Comments:</w:t>
      </w:r>
    </w:p>
    <w:p w14:paraId="07A68D9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B93A7BD" w14:textId="7AA31B8F"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5C461" w14:textId="77777777" w:rsidR="008D04E5" w:rsidRDefault="008D04E5">
      <w:r>
        <w:separator/>
      </w:r>
    </w:p>
  </w:endnote>
  <w:endnote w:type="continuationSeparator" w:id="0">
    <w:p w14:paraId="5E6FBC7D" w14:textId="77777777" w:rsidR="008D04E5" w:rsidRDefault="008D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0948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930500" wp14:editId="3433A97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A2FE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DCD1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93050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00A2FE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DCD1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FA0E1B" wp14:editId="5FFBF8A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66FA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1631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A0E1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DA66FA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1631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07EE626" wp14:editId="7F50249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742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ED71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EE62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09742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ED71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759B8" w14:textId="77777777" w:rsidR="008D04E5" w:rsidRDefault="008D04E5">
      <w:r>
        <w:separator/>
      </w:r>
    </w:p>
  </w:footnote>
  <w:footnote w:type="continuationSeparator" w:id="0">
    <w:p w14:paraId="42F81371" w14:textId="77777777" w:rsidR="008D04E5" w:rsidRDefault="008D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C66E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D9A9112" wp14:editId="0DBC350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84DB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9A911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0984DB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84AFB67" wp14:editId="3F9B583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B616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E5754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AFB6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74B616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E5754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3F2D"/>
    <w:rsid w:val="00064E1B"/>
    <w:rsid w:val="000E2911"/>
    <w:rsid w:val="001263DF"/>
    <w:rsid w:val="00223F29"/>
    <w:rsid w:val="002455EC"/>
    <w:rsid w:val="00292ED9"/>
    <w:rsid w:val="00404E5B"/>
    <w:rsid w:val="00414F7B"/>
    <w:rsid w:val="004355DC"/>
    <w:rsid w:val="004749B4"/>
    <w:rsid w:val="00494130"/>
    <w:rsid w:val="004F3523"/>
    <w:rsid w:val="005973B9"/>
    <w:rsid w:val="005B3A56"/>
    <w:rsid w:val="006060CE"/>
    <w:rsid w:val="0063497F"/>
    <w:rsid w:val="007B0C2B"/>
    <w:rsid w:val="00856816"/>
    <w:rsid w:val="00873DF0"/>
    <w:rsid w:val="008756E6"/>
    <w:rsid w:val="008A08B6"/>
    <w:rsid w:val="008D04E5"/>
    <w:rsid w:val="009B2D44"/>
    <w:rsid w:val="00A07E82"/>
    <w:rsid w:val="00A9710C"/>
    <w:rsid w:val="00AE3E37"/>
    <w:rsid w:val="00B21A57"/>
    <w:rsid w:val="00B913CA"/>
    <w:rsid w:val="00BC5F68"/>
    <w:rsid w:val="00C33602"/>
    <w:rsid w:val="00CD6F55"/>
    <w:rsid w:val="00DA2BAB"/>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0566E2"/>
  <w15:docId w15:val="{12F61AAC-2155-445F-BA8B-3A7DE475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DA2B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Tony Green</cp:lastModifiedBy>
  <cp:revision>5</cp:revision>
  <dcterms:created xsi:type="dcterms:W3CDTF">2016-12-06T11:19:00Z</dcterms:created>
  <dcterms:modified xsi:type="dcterms:W3CDTF">2019-02-01T16:39:00Z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