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601" w:rsidRPr="0049015F" w:rsidRDefault="009F6601" w:rsidP="001516ED">
      <w:pPr>
        <w:pStyle w:val="PlainText"/>
        <w:ind w:left="90"/>
        <w:rPr>
          <w:rFonts w:ascii="Times New Roman" w:eastAsia="MS Mincho" w:hAnsi="Times New Roman" w:cs="Times New Roman"/>
          <w:b/>
          <w:bCs/>
          <w:sz w:val="24"/>
          <w:szCs w:val="24"/>
        </w:rPr>
      </w:pPr>
      <w:r>
        <w:rPr>
          <w:rFonts w:ascii="Times New Roman" w:eastAsia="MS Mincho" w:hAnsi="Times New Roman" w:cs="Times New Roman"/>
          <w:b/>
          <w:bCs/>
          <w:sz w:val="24"/>
          <w:szCs w:val="24"/>
        </w:rPr>
        <w:t xml:space="preserve">NANO PROBE DETECTION OF CIRCULATING TUMOR CELLS VIA LACTIC SECRETION GENERATED SURFACE ELECTRIC CHARGES </w:t>
      </w:r>
    </w:p>
    <w:p w:rsidR="009F6601" w:rsidRDefault="009F6601" w:rsidP="005973B9">
      <w:pPr>
        <w:pStyle w:val="BodyText"/>
        <w:spacing w:before="73" w:line="198" w:lineRule="exact"/>
        <w:ind w:left="100" w:right="5987"/>
        <w:rPr>
          <w:rFonts w:ascii="Arial"/>
        </w:rPr>
      </w:pPr>
      <w:r>
        <w:rPr>
          <w:rFonts w:ascii="Arial"/>
        </w:rPr>
        <w:t xml:space="preserve">Donglu Shi, </w:t>
      </w:r>
      <w:r w:rsidRPr="009F6601">
        <w:rPr>
          <w:rFonts w:ascii="Arial"/>
        </w:rPr>
        <w:t>The Materials Science and Engineering Program, Dept. of Mechanical and Materials Engineering, College of Engineering and Applied Science, University of Cinc</w:t>
      </w:r>
      <w:r>
        <w:rPr>
          <w:rFonts w:ascii="Arial"/>
        </w:rPr>
        <w:t>innati, Cincinnati, Ohio, USA</w:t>
      </w:r>
    </w:p>
    <w:p w:rsidR="009F6601" w:rsidRDefault="009F6601" w:rsidP="005973B9">
      <w:pPr>
        <w:pStyle w:val="BodyText"/>
        <w:spacing w:before="73" w:line="198" w:lineRule="exact"/>
        <w:ind w:left="100" w:right="5987"/>
        <w:rPr>
          <w:rFonts w:ascii="Arial"/>
        </w:rPr>
      </w:pPr>
      <w:proofErr w:type="spellStart"/>
      <w:r>
        <w:rPr>
          <w:rFonts w:ascii="Arial"/>
        </w:rPr>
        <w:t>Wenj</w:t>
      </w:r>
      <w:r w:rsidR="00A231DA">
        <w:rPr>
          <w:rFonts w:ascii="Arial"/>
        </w:rPr>
        <w:t>u</w:t>
      </w:r>
      <w:r>
        <w:rPr>
          <w:rFonts w:ascii="Arial"/>
        </w:rPr>
        <w:t>n</w:t>
      </w:r>
      <w:proofErr w:type="spellEnd"/>
      <w:r>
        <w:rPr>
          <w:rFonts w:ascii="Arial"/>
        </w:rPr>
        <w:t xml:space="preserve"> Le, </w:t>
      </w:r>
      <w:proofErr w:type="spellStart"/>
      <w:r>
        <w:rPr>
          <w:rFonts w:ascii="Arial"/>
        </w:rPr>
        <w:t>Yilong</w:t>
      </w:r>
      <w:proofErr w:type="spellEnd"/>
      <w:r>
        <w:rPr>
          <w:rFonts w:ascii="Arial"/>
        </w:rPr>
        <w:t xml:space="preserve"> Wang, Xiao Han, </w:t>
      </w:r>
      <w:proofErr w:type="spellStart"/>
      <w:r>
        <w:rPr>
          <w:rFonts w:ascii="Arial"/>
        </w:rPr>
        <w:t>Bingdi</w:t>
      </w:r>
      <w:proofErr w:type="spellEnd"/>
      <w:r>
        <w:rPr>
          <w:rFonts w:ascii="Arial"/>
        </w:rPr>
        <w:t xml:space="preserve"> Chen, </w:t>
      </w:r>
      <w:r w:rsidRPr="009F6601">
        <w:rPr>
          <w:rFonts w:ascii="Arial"/>
        </w:rPr>
        <w:t xml:space="preserve">The Institute of Translational Medicine, East Hospital, </w:t>
      </w:r>
      <w:proofErr w:type="spellStart"/>
      <w:r w:rsidRPr="009F6601">
        <w:rPr>
          <w:rFonts w:ascii="Arial"/>
        </w:rPr>
        <w:t>Tongji</w:t>
      </w:r>
      <w:proofErr w:type="spellEnd"/>
      <w:r w:rsidRPr="009F6601">
        <w:rPr>
          <w:rFonts w:ascii="Arial"/>
        </w:rPr>
        <w:t xml:space="preserve"> University School</w:t>
      </w:r>
      <w:r>
        <w:rPr>
          <w:rFonts w:ascii="Arial"/>
        </w:rPr>
        <w:t xml:space="preserve"> of Medicine, Shanghai, China</w:t>
      </w:r>
    </w:p>
    <w:p w:rsidR="005973B9" w:rsidRDefault="00BA7B1B" w:rsidP="005973B9">
      <w:pPr>
        <w:pStyle w:val="BodyText"/>
        <w:spacing w:before="73" w:line="198" w:lineRule="exact"/>
        <w:ind w:left="100" w:right="5987"/>
        <w:rPr>
          <w:rFonts w:ascii="Arial"/>
        </w:rPr>
      </w:pPr>
      <w:r>
        <w:rPr>
          <w:rFonts w:ascii="Arial"/>
        </w:rPr>
        <w:t>Zheng</w:t>
      </w:r>
      <w:r w:rsidR="009F6601">
        <w:rPr>
          <w:rFonts w:ascii="Arial"/>
        </w:rPr>
        <w:t xml:space="preserve"> Cui, </w:t>
      </w:r>
      <w:r w:rsidR="009F6601" w:rsidRPr="009F6601">
        <w:rPr>
          <w:rFonts w:ascii="Arial"/>
        </w:rPr>
        <w:t>Dept. of Pathology, Wake Forest School of Medicine, NC, USA</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9F6601" w:rsidRDefault="003865EF" w:rsidP="003865EF">
      <w:pPr>
        <w:pStyle w:val="Heading3"/>
        <w:spacing w:line="281" w:lineRule="auto"/>
        <w:ind w:left="101"/>
        <w:jc w:val="both"/>
        <w:rPr>
          <w:b w:val="0"/>
        </w:rPr>
      </w:pPr>
      <w:r w:rsidRPr="003865EF">
        <w:rPr>
          <w:rFonts w:ascii="Tw Cen MT" w:eastAsia="Tw Cen MT" w:hAnsi="Tw Cen MT" w:cs="Tw Cen MT"/>
          <w:b w:val="0"/>
          <w:bCs w:val="0"/>
          <w:sz w:val="18"/>
          <w:szCs w:val="18"/>
        </w:rPr>
        <w:t>Cancer cells may detach from the original tumor and enter the bloodstream, defined as circulating tumor cells (CTCs), and which are believed to be responsible for metastasis.</w:t>
      </w:r>
      <w:r>
        <w:rPr>
          <w:rFonts w:ascii="Tw Cen MT" w:eastAsia="Tw Cen MT" w:hAnsi="Tw Cen MT" w:cs="Tw Cen MT"/>
          <w:b w:val="0"/>
          <w:bCs w:val="0"/>
          <w:sz w:val="18"/>
          <w:szCs w:val="18"/>
        </w:rPr>
        <w:t xml:space="preserve"> </w:t>
      </w:r>
      <w:r w:rsidR="009F6601" w:rsidRPr="003865EF">
        <w:rPr>
          <w:rFonts w:ascii="Tw Cen MT" w:eastAsia="Tw Cen MT" w:hAnsi="Tw Cen MT" w:cs="Tw Cen MT"/>
          <w:b w:val="0"/>
          <w:bCs w:val="0"/>
          <w:sz w:val="18"/>
          <w:szCs w:val="18"/>
        </w:rPr>
        <w:t>It is therefore critical to investigate CTC mechanisms and develop analytically reliable and clinically viable methods, which can be achieved by novel nanotechnologies.</w:t>
      </w:r>
      <w:r w:rsidR="009F6601">
        <w:rPr>
          <w:rFonts w:ascii="Tw Cen MT" w:eastAsia="Tw Cen MT" w:hAnsi="Tw Cen MT" w:cs="Tw Cen MT"/>
          <w:b w:val="0"/>
          <w:bCs w:val="0"/>
          <w:sz w:val="18"/>
          <w:szCs w:val="18"/>
        </w:rPr>
        <w:t xml:space="preserve"> </w:t>
      </w:r>
      <w:r w:rsidRPr="003865EF">
        <w:rPr>
          <w:rFonts w:ascii="Tw Cen MT" w:eastAsia="Tw Cen MT" w:hAnsi="Tw Cen MT" w:cs="Tw Cen MT"/>
          <w:b w:val="0"/>
          <w:bCs w:val="0"/>
          <w:sz w:val="18"/>
          <w:szCs w:val="18"/>
        </w:rPr>
        <w:t>All cancer cells share a hallmark characteristic: high rate of glycolysis. The levels of glucose uptake and lactate secretion by cancer cells can be up to thirty times greater than that of normal cells. The transportation of lactate from cytoplasm will inevitably remove labile cations, such as Na+ and H+, to form lactic salts, generating net negative charges on cell surfaces</w:t>
      </w:r>
      <w:r w:rsidR="009F6601">
        <w:rPr>
          <w:rFonts w:ascii="Tw Cen MT" w:eastAsia="Tw Cen MT" w:hAnsi="Tw Cen MT" w:cs="Tw Cen MT"/>
          <w:b w:val="0"/>
          <w:bCs w:val="0"/>
          <w:sz w:val="18"/>
          <w:szCs w:val="18"/>
        </w:rPr>
        <w:t xml:space="preserve"> (Fig. 1)</w:t>
      </w:r>
      <w:r w:rsidRPr="003865EF">
        <w:rPr>
          <w:rFonts w:ascii="Tw Cen MT" w:eastAsia="Tw Cen MT" w:hAnsi="Tw Cen MT" w:cs="Tw Cen MT"/>
          <w:b w:val="0"/>
          <w:bCs w:val="0"/>
          <w:sz w:val="18"/>
          <w:szCs w:val="18"/>
        </w:rPr>
        <w:t>. High concentrations of negative charges on cancer cell surfaces are therefore biophysical manifestations of the Warburg effect, presenting a highly distinguishable characteristic from normal cells, regardless of their phenotypical and genetic differences. Systematic investigations have been carried out in our laboratory to illuminate the relationships between the cancer cell surface electrical charge and glycolysis rate in a large number (22) of different cancer cell lines. It is possible, as we have demonstrated, to use the glycolytic-regulated cancer cell surface negative change as the biophysical analysts for CTC detection. Using this approach, direct CTC detection was performed on blood samples, and the findings are highly encouraging.  Among different disease groups, we captured CTCs with sensitivities much higher than the previously published results, confirming the validity of the charge-based strategies. Potential applications include detection of circulating tumor cells for early cancer diagnosis and evaluation of medical intervention.</w:t>
      </w:r>
      <w:r w:rsidRPr="003865EF">
        <w:t xml:space="preserve"> </w:t>
      </w:r>
      <w:r w:rsidRPr="003865EF">
        <w:rPr>
          <w:rFonts w:ascii="Tw Cen MT" w:eastAsia="Tw Cen MT" w:hAnsi="Tw Cen MT" w:cs="Tw Cen MT"/>
          <w:b w:val="0"/>
          <w:bCs w:val="0"/>
          <w:sz w:val="18"/>
          <w:szCs w:val="18"/>
        </w:rPr>
        <w:t>Early diagnosis is the key in cancer management. However, few clinical methodologies are effective and available, nor are any new concepts readily approved that can revolut</w:t>
      </w:r>
      <w:r>
        <w:rPr>
          <w:rFonts w:ascii="Tw Cen MT" w:eastAsia="Tw Cen MT" w:hAnsi="Tw Cen MT" w:cs="Tw Cen MT"/>
          <w:b w:val="0"/>
          <w:bCs w:val="0"/>
          <w:sz w:val="18"/>
          <w:szCs w:val="18"/>
        </w:rPr>
        <w:t>ionize current diagnostic tools</w:t>
      </w:r>
      <w:r w:rsidRPr="003865EF">
        <w:rPr>
          <w:rFonts w:ascii="Tw Cen MT" w:eastAsia="Tw Cen MT" w:hAnsi="Tw Cen MT" w:cs="Tw Cen MT"/>
          <w:b w:val="0"/>
          <w:bCs w:val="0"/>
          <w:sz w:val="18"/>
          <w:szCs w:val="18"/>
        </w:rPr>
        <w:t xml:space="preserve">. Therefore, if CTCs could be detected sensitively, timely, and straightforwardly, mortality could be significantly reduced. </w:t>
      </w:r>
    </w:p>
    <w:p w:rsidR="00BA7B1B" w:rsidRDefault="00BA7B1B" w:rsidP="009F6601">
      <w:pPr>
        <w:pStyle w:val="Heading3"/>
        <w:spacing w:line="281" w:lineRule="auto"/>
        <w:ind w:left="0"/>
        <w:jc w:val="both"/>
        <w:rPr>
          <w:color w:val="BF5A14"/>
        </w:rPr>
      </w:pPr>
    </w:p>
    <w:p w:rsidR="00BA7B1B" w:rsidRDefault="00BA7B1B" w:rsidP="009F6601">
      <w:pPr>
        <w:pStyle w:val="Heading3"/>
        <w:spacing w:line="281" w:lineRule="auto"/>
        <w:ind w:left="0"/>
        <w:jc w:val="both"/>
        <w:rPr>
          <w:color w:val="BF5A14"/>
        </w:rPr>
      </w:pPr>
    </w:p>
    <w:p w:rsidR="00A231DA" w:rsidRDefault="00A231DA" w:rsidP="009F6601">
      <w:pPr>
        <w:pStyle w:val="Heading3"/>
        <w:spacing w:line="281" w:lineRule="auto"/>
        <w:ind w:left="0"/>
        <w:jc w:val="both"/>
        <w:rPr>
          <w:color w:val="BF5A14"/>
        </w:rPr>
      </w:pPr>
    </w:p>
    <w:p w:rsidR="00B4428B" w:rsidRDefault="00B4428B" w:rsidP="009F6601">
      <w:pPr>
        <w:pStyle w:val="Heading3"/>
        <w:spacing w:line="281" w:lineRule="auto"/>
        <w:ind w:left="0"/>
        <w:jc w:val="both"/>
        <w:rPr>
          <w:color w:val="BF5A14"/>
        </w:rPr>
      </w:pPr>
    </w:p>
    <w:p w:rsidR="00AE3E37" w:rsidRDefault="00A9710C" w:rsidP="009F6601">
      <w:pPr>
        <w:pStyle w:val="Heading3"/>
        <w:spacing w:line="281" w:lineRule="auto"/>
        <w:ind w:left="0"/>
        <w:jc w:val="both"/>
      </w:pPr>
      <w:r>
        <w:rPr>
          <w:color w:val="BF5A14"/>
        </w:rPr>
        <w:t>Image</w:t>
      </w:r>
    </w:p>
    <w:p w:rsidR="00AE3E37" w:rsidRDefault="009F6601">
      <w:pPr>
        <w:pStyle w:val="BodyText"/>
        <w:spacing w:before="2"/>
        <w:rPr>
          <w:rFonts w:ascii="Arial"/>
          <w:b/>
          <w:sz w:val="16"/>
        </w:rPr>
      </w:pPr>
      <w:r>
        <w:rPr>
          <w:rFonts w:ascii="Arial"/>
          <w:b/>
          <w:noProof/>
          <w:sz w:val="16"/>
          <w:lang w:eastAsia="zh-CN"/>
        </w:rPr>
        <w:drawing>
          <wp:inline distT="0" distB="0" distL="0" distR="0" wp14:anchorId="6917384B">
            <wp:extent cx="2987040" cy="149352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87040" cy="1493520"/>
                    </a:xfrm>
                    <a:prstGeom prst="rect">
                      <a:avLst/>
                    </a:prstGeom>
                    <a:noFill/>
                  </pic:spPr>
                </pic:pic>
              </a:graphicData>
            </a:graphic>
          </wp:inline>
        </w:drawing>
      </w:r>
    </w:p>
    <w:p w:rsidR="009F6601" w:rsidRPr="00D669E6" w:rsidRDefault="009F6601" w:rsidP="009F6601">
      <w:pPr>
        <w:jc w:val="both"/>
        <w:rPr>
          <w:sz w:val="18"/>
          <w:szCs w:val="18"/>
        </w:rPr>
      </w:pPr>
      <w:r w:rsidRPr="00D669E6">
        <w:rPr>
          <w:bCs/>
          <w:sz w:val="18"/>
          <w:szCs w:val="18"/>
        </w:rPr>
        <w:t>Fig</w:t>
      </w:r>
      <w:r w:rsidRPr="00D669E6">
        <w:rPr>
          <w:bCs/>
          <w:sz w:val="18"/>
          <w:szCs w:val="18"/>
          <w:lang w:eastAsia="zh-CN"/>
        </w:rPr>
        <w:t>ure</w:t>
      </w:r>
      <w:r w:rsidRPr="00D669E6">
        <w:rPr>
          <w:bCs/>
          <w:sz w:val="18"/>
          <w:szCs w:val="18"/>
        </w:rPr>
        <w:t xml:space="preserve"> 1. Schematic diagram showing </w:t>
      </w:r>
      <w:r w:rsidRPr="00D669E6">
        <w:rPr>
          <w:sz w:val="18"/>
          <w:szCs w:val="18"/>
        </w:rPr>
        <w:t>secretion of lactate anions leading to a loss of cations from the cell surface and leaving behind the negative charges as a result of the hallmark metabolism of cancer cells.</w:t>
      </w:r>
    </w:p>
    <w:p w:rsidR="009F6601" w:rsidRDefault="009F6601"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A231DA" w:rsidRDefault="00A231DA" w:rsidP="00A231DA">
      <w:pPr>
        <w:tabs>
          <w:tab w:val="left" w:pos="384"/>
        </w:tabs>
        <w:ind w:right="117"/>
        <w:rPr>
          <w:rFonts w:eastAsia="Calibri" w:cs="Calibri"/>
          <w:sz w:val="18"/>
        </w:rPr>
      </w:pPr>
      <w:r w:rsidRPr="00A231DA">
        <w:rPr>
          <w:rFonts w:eastAsia="Calibri" w:cs="Calibri"/>
          <w:sz w:val="18"/>
        </w:rPr>
        <w:t xml:space="preserve">1. </w:t>
      </w:r>
      <w:r w:rsidRPr="00A231DA">
        <w:rPr>
          <w:rFonts w:eastAsia="Calibri" w:cs="Calibri"/>
          <w:sz w:val="18"/>
        </w:rPr>
        <w:t xml:space="preserve">Chen B, Le W, Wang Y, Li Z, Wang D, Ren L, Lin L, Cui S, Hu JJ, Hu Y, Yang P, Ewing RC, Shi D, Cui Z. (2016) Targeting Negative Surface Charges of Cancer Cells by Multifunctional </w:t>
      </w:r>
      <w:proofErr w:type="spellStart"/>
      <w:r w:rsidRPr="00A231DA">
        <w:rPr>
          <w:rFonts w:eastAsia="Calibri" w:cs="Calibri"/>
          <w:sz w:val="18"/>
        </w:rPr>
        <w:t>Nanoprobes</w:t>
      </w:r>
      <w:proofErr w:type="spellEnd"/>
      <w:r w:rsidRPr="00A231DA">
        <w:rPr>
          <w:rFonts w:eastAsia="Calibri" w:cs="Calibri"/>
          <w:sz w:val="18"/>
        </w:rPr>
        <w:t xml:space="preserve">. Theranostics, 6(11): 1887-98. </w:t>
      </w:r>
    </w:p>
    <w:p w:rsidR="00B4428B" w:rsidRPr="00A231DA" w:rsidRDefault="00B4428B" w:rsidP="00A231DA">
      <w:pPr>
        <w:tabs>
          <w:tab w:val="left" w:pos="384"/>
        </w:tabs>
        <w:ind w:right="117"/>
        <w:rPr>
          <w:rFonts w:eastAsia="Calibri" w:cs="Calibri"/>
          <w:sz w:val="18"/>
        </w:rPr>
      </w:pPr>
    </w:p>
    <w:p w:rsidR="00A231DA" w:rsidRDefault="00A231DA" w:rsidP="00A231DA">
      <w:pPr>
        <w:tabs>
          <w:tab w:val="left" w:pos="384"/>
        </w:tabs>
        <w:ind w:right="117"/>
        <w:rPr>
          <w:rFonts w:eastAsia="Calibri" w:cs="Calibri"/>
          <w:sz w:val="18"/>
        </w:rPr>
      </w:pPr>
      <w:r w:rsidRPr="00A231DA">
        <w:rPr>
          <w:rFonts w:eastAsia="Calibri" w:cs="Calibri"/>
          <w:sz w:val="18"/>
        </w:rPr>
        <w:t>2.</w:t>
      </w:r>
      <w:r w:rsidR="00B4428B">
        <w:rPr>
          <w:rFonts w:eastAsia="Calibri" w:cs="Calibri"/>
          <w:sz w:val="18"/>
        </w:rPr>
        <w:t xml:space="preserve"> </w:t>
      </w:r>
      <w:r w:rsidRPr="00A231DA">
        <w:rPr>
          <w:rFonts w:eastAsia="Calibri" w:cs="Calibri"/>
          <w:sz w:val="18"/>
        </w:rPr>
        <w:t>Han</w:t>
      </w:r>
      <w:r w:rsidR="00B4428B">
        <w:rPr>
          <w:rFonts w:eastAsia="Calibri" w:cs="Calibri"/>
          <w:sz w:val="18"/>
        </w:rPr>
        <w:t xml:space="preserve"> X, </w:t>
      </w:r>
      <w:r w:rsidRPr="00A231DA">
        <w:rPr>
          <w:rFonts w:eastAsia="Calibri" w:cs="Calibri"/>
          <w:sz w:val="18"/>
        </w:rPr>
        <w:t>Yang</w:t>
      </w:r>
      <w:r w:rsidR="00B4428B">
        <w:rPr>
          <w:rFonts w:eastAsia="Calibri" w:cs="Calibri"/>
          <w:sz w:val="18"/>
        </w:rPr>
        <w:t xml:space="preserve"> Z</w:t>
      </w:r>
      <w:r w:rsidRPr="00A231DA">
        <w:rPr>
          <w:rFonts w:eastAsia="Calibri" w:cs="Calibri"/>
          <w:sz w:val="18"/>
        </w:rPr>
        <w:t>, Deng</w:t>
      </w:r>
      <w:r w:rsidR="00B4428B">
        <w:rPr>
          <w:rFonts w:eastAsia="Calibri" w:cs="Calibri"/>
          <w:sz w:val="18"/>
        </w:rPr>
        <w:t xml:space="preserve"> Z C, </w:t>
      </w:r>
      <w:r w:rsidRPr="00A231DA">
        <w:rPr>
          <w:rFonts w:eastAsia="Calibri" w:cs="Calibri"/>
          <w:sz w:val="18"/>
        </w:rPr>
        <w:t>Wang</w:t>
      </w:r>
      <w:r w:rsidR="00B4428B">
        <w:rPr>
          <w:rFonts w:eastAsia="Calibri" w:cs="Calibri"/>
          <w:sz w:val="18"/>
        </w:rPr>
        <w:t xml:space="preserve"> Y L, </w:t>
      </w:r>
      <w:r w:rsidRPr="00A231DA">
        <w:rPr>
          <w:rFonts w:eastAsia="Calibri" w:cs="Calibri"/>
          <w:sz w:val="18"/>
        </w:rPr>
        <w:t>Zhu</w:t>
      </w:r>
      <w:r w:rsidR="00B4428B">
        <w:rPr>
          <w:rFonts w:eastAsia="Calibri" w:cs="Calibri"/>
          <w:sz w:val="18"/>
        </w:rPr>
        <w:t xml:space="preserve"> H </w:t>
      </w:r>
      <w:proofErr w:type="spellStart"/>
      <w:r w:rsidR="00B4428B">
        <w:rPr>
          <w:rFonts w:eastAsia="Calibri" w:cs="Calibri"/>
          <w:sz w:val="18"/>
        </w:rPr>
        <w:t>H</w:t>
      </w:r>
      <w:proofErr w:type="spellEnd"/>
      <w:r w:rsidR="00B4428B">
        <w:rPr>
          <w:rFonts w:eastAsia="Calibri" w:cs="Calibri"/>
          <w:sz w:val="18"/>
        </w:rPr>
        <w:t xml:space="preserve">, </w:t>
      </w:r>
      <w:r w:rsidRPr="00A231DA">
        <w:rPr>
          <w:rFonts w:eastAsia="Calibri" w:cs="Calibri"/>
          <w:sz w:val="18"/>
        </w:rPr>
        <w:t>Chen</w:t>
      </w:r>
      <w:r w:rsidR="00B4428B">
        <w:rPr>
          <w:rFonts w:eastAsia="Calibri" w:cs="Calibri"/>
          <w:sz w:val="18"/>
        </w:rPr>
        <w:t xml:space="preserve"> B D, </w:t>
      </w:r>
      <w:r w:rsidRPr="00A231DA">
        <w:rPr>
          <w:rFonts w:eastAsia="Calibri" w:cs="Calibri"/>
          <w:sz w:val="18"/>
        </w:rPr>
        <w:t>Cui</w:t>
      </w:r>
      <w:r w:rsidR="00B4428B">
        <w:rPr>
          <w:rFonts w:eastAsia="Calibri" w:cs="Calibri"/>
          <w:sz w:val="18"/>
        </w:rPr>
        <w:t xml:space="preserve"> Z</w:t>
      </w:r>
      <w:r w:rsidRPr="00A231DA">
        <w:rPr>
          <w:rFonts w:eastAsia="Calibri" w:cs="Calibri"/>
          <w:sz w:val="18"/>
        </w:rPr>
        <w:t>, Ewing</w:t>
      </w:r>
      <w:r w:rsidR="00B4428B">
        <w:rPr>
          <w:rFonts w:eastAsia="Calibri" w:cs="Calibri"/>
          <w:sz w:val="18"/>
        </w:rPr>
        <w:t xml:space="preserve"> R C, </w:t>
      </w:r>
      <w:r w:rsidRPr="00A231DA">
        <w:rPr>
          <w:rFonts w:eastAsia="Calibri" w:cs="Calibri"/>
          <w:sz w:val="18"/>
        </w:rPr>
        <w:t xml:space="preserve">Shi </w:t>
      </w:r>
      <w:r w:rsidR="00B4428B">
        <w:rPr>
          <w:rFonts w:eastAsia="Calibri" w:cs="Calibri"/>
          <w:sz w:val="18"/>
        </w:rPr>
        <w:t xml:space="preserve">D, </w:t>
      </w:r>
      <w:r w:rsidRPr="00A231DA">
        <w:rPr>
          <w:rFonts w:eastAsia="Calibri" w:cs="Calibri"/>
          <w:sz w:val="18"/>
        </w:rPr>
        <w:t xml:space="preserve">(2016) </w:t>
      </w:r>
      <w:proofErr w:type="spellStart"/>
      <w:r w:rsidRPr="00A231DA">
        <w:rPr>
          <w:rFonts w:eastAsia="Calibri" w:cs="Calibri"/>
          <w:sz w:val="18"/>
        </w:rPr>
        <w:t>Biomarkerless</w:t>
      </w:r>
      <w:proofErr w:type="spellEnd"/>
      <w:r w:rsidRPr="00A231DA">
        <w:rPr>
          <w:rFonts w:eastAsia="Calibri" w:cs="Calibri"/>
          <w:sz w:val="18"/>
        </w:rPr>
        <w:t xml:space="preserve"> Cancer Cell Targeting and Instant </w:t>
      </w:r>
      <w:proofErr w:type="spellStart"/>
      <w:r w:rsidRPr="00A231DA">
        <w:rPr>
          <w:rFonts w:eastAsia="Calibri" w:cs="Calibri"/>
          <w:sz w:val="18"/>
        </w:rPr>
        <w:t>Photothermal</w:t>
      </w:r>
      <w:proofErr w:type="spellEnd"/>
      <w:r w:rsidRPr="00A231DA">
        <w:rPr>
          <w:rFonts w:eastAsia="Calibri" w:cs="Calibri"/>
          <w:sz w:val="18"/>
        </w:rPr>
        <w:t xml:space="preserve"> Cell Killing by a Surface-Electrically-Charged Superparamagnetic Nanocomposite. Nanoscale, 2017,9, 1457-1465</w:t>
      </w:r>
    </w:p>
    <w:p w:rsidR="00B4428B" w:rsidRPr="00A231DA" w:rsidRDefault="00B4428B" w:rsidP="00A231DA">
      <w:pPr>
        <w:tabs>
          <w:tab w:val="left" w:pos="384"/>
        </w:tabs>
        <w:ind w:right="117"/>
        <w:rPr>
          <w:rFonts w:eastAsia="Calibri" w:cs="Calibri"/>
          <w:sz w:val="18"/>
        </w:rPr>
      </w:pPr>
    </w:p>
    <w:p w:rsidR="00A231DA" w:rsidRDefault="00A231DA" w:rsidP="00A231DA">
      <w:pPr>
        <w:tabs>
          <w:tab w:val="left" w:pos="384"/>
        </w:tabs>
        <w:ind w:right="117"/>
        <w:rPr>
          <w:rFonts w:eastAsia="Calibri" w:cs="Calibri"/>
          <w:sz w:val="18"/>
        </w:rPr>
      </w:pPr>
      <w:r w:rsidRPr="00A231DA">
        <w:rPr>
          <w:rFonts w:eastAsia="Calibri" w:cs="Calibri"/>
          <w:sz w:val="18"/>
        </w:rPr>
        <w:t>3.</w:t>
      </w:r>
      <w:r w:rsidRPr="00A231DA">
        <w:rPr>
          <w:rFonts w:eastAsia="Calibri" w:cs="Calibri"/>
          <w:sz w:val="18"/>
        </w:rPr>
        <w:t xml:space="preserve">Wang D, Wang W, Cui Z, Shi D. (2015) Historical and practical perspective of the unique surface electrical properties of cancer cells. Science Insights 11(3):346-354. </w:t>
      </w:r>
    </w:p>
    <w:p w:rsidR="00B4428B" w:rsidRPr="00A231DA" w:rsidRDefault="00B4428B" w:rsidP="00A231DA">
      <w:pPr>
        <w:tabs>
          <w:tab w:val="left" w:pos="384"/>
        </w:tabs>
        <w:ind w:right="117"/>
        <w:rPr>
          <w:rFonts w:eastAsia="Calibri" w:cs="Calibri"/>
          <w:sz w:val="18"/>
        </w:rPr>
      </w:pPr>
    </w:p>
    <w:p w:rsidR="00A231DA" w:rsidRDefault="00A231DA" w:rsidP="00A231DA">
      <w:pPr>
        <w:tabs>
          <w:tab w:val="left" w:pos="384"/>
        </w:tabs>
        <w:ind w:right="117"/>
        <w:rPr>
          <w:rFonts w:eastAsia="Calibri" w:cs="Calibri"/>
          <w:sz w:val="18"/>
        </w:rPr>
      </w:pPr>
      <w:r w:rsidRPr="00A231DA">
        <w:rPr>
          <w:rFonts w:eastAsia="Calibri" w:cs="Calibri"/>
          <w:sz w:val="18"/>
        </w:rPr>
        <w:t>4.</w:t>
      </w:r>
      <w:r w:rsidR="00B4428B">
        <w:rPr>
          <w:rFonts w:eastAsia="Calibri" w:cs="Calibri"/>
          <w:sz w:val="18"/>
        </w:rPr>
        <w:t xml:space="preserve"> Shi </w:t>
      </w:r>
      <w:r w:rsidR="00B4428B" w:rsidRPr="00B4428B">
        <w:rPr>
          <w:rFonts w:eastAsia="Calibri" w:cs="Calibri"/>
          <w:sz w:val="18"/>
        </w:rPr>
        <w:t>D</w:t>
      </w:r>
      <w:r w:rsidR="00B4428B">
        <w:rPr>
          <w:rFonts w:eastAsia="Calibri" w:cs="Calibri"/>
          <w:sz w:val="18"/>
        </w:rPr>
        <w:t xml:space="preserve">i, </w:t>
      </w:r>
      <w:r w:rsidR="00B4428B" w:rsidRPr="00B4428B">
        <w:rPr>
          <w:rFonts w:eastAsia="Calibri" w:cs="Calibri"/>
          <w:sz w:val="18"/>
        </w:rPr>
        <w:t>Bedford</w:t>
      </w:r>
      <w:r w:rsidR="00B4428B">
        <w:rPr>
          <w:rFonts w:eastAsia="Calibri" w:cs="Calibri"/>
          <w:sz w:val="18"/>
        </w:rPr>
        <w:t xml:space="preserve"> N</w:t>
      </w:r>
      <w:r w:rsidR="00B4428B" w:rsidRPr="00B4428B">
        <w:rPr>
          <w:rFonts w:eastAsia="Calibri" w:cs="Calibri"/>
          <w:sz w:val="18"/>
        </w:rPr>
        <w:t>, Cho</w:t>
      </w:r>
      <w:r w:rsidR="00B4428B">
        <w:rPr>
          <w:rFonts w:eastAsia="Calibri" w:cs="Calibri"/>
          <w:sz w:val="18"/>
        </w:rPr>
        <w:t xml:space="preserve"> H. S</w:t>
      </w:r>
      <w:r w:rsidR="00B4428B" w:rsidRPr="00B4428B">
        <w:rPr>
          <w:rFonts w:eastAsia="Calibri" w:cs="Calibri"/>
          <w:sz w:val="18"/>
        </w:rPr>
        <w:t xml:space="preserve">, Engineered Multifunctional </w:t>
      </w:r>
      <w:proofErr w:type="spellStart"/>
      <w:r w:rsidR="00B4428B" w:rsidRPr="00B4428B">
        <w:rPr>
          <w:rFonts w:eastAsia="Calibri" w:cs="Calibri"/>
          <w:sz w:val="18"/>
        </w:rPr>
        <w:t>Nanocarriers</w:t>
      </w:r>
      <w:proofErr w:type="spellEnd"/>
      <w:r w:rsidR="00B4428B" w:rsidRPr="00B4428B">
        <w:rPr>
          <w:rFonts w:eastAsia="Calibri" w:cs="Calibri"/>
          <w:sz w:val="18"/>
        </w:rPr>
        <w:t xml:space="preserve"> for Cancer Diagnosis and Therapeutics, Small, 1-19 (2011)</w:t>
      </w:r>
      <w:r w:rsidRPr="00A231DA">
        <w:rPr>
          <w:rFonts w:eastAsia="Calibri" w:cs="Calibri"/>
          <w:sz w:val="18"/>
        </w:rPr>
        <w:t>.</w:t>
      </w:r>
    </w:p>
    <w:p w:rsidR="00B4428B" w:rsidRPr="00A231DA" w:rsidRDefault="00B4428B" w:rsidP="00A231DA">
      <w:pPr>
        <w:tabs>
          <w:tab w:val="left" w:pos="384"/>
        </w:tabs>
        <w:ind w:right="117"/>
        <w:rPr>
          <w:rFonts w:eastAsia="Calibri" w:cs="Calibri"/>
          <w:sz w:val="18"/>
        </w:rPr>
      </w:pPr>
    </w:p>
    <w:p w:rsidR="00AE3E37" w:rsidRPr="00A83C99" w:rsidRDefault="00A231DA" w:rsidP="00A83C99">
      <w:pPr>
        <w:tabs>
          <w:tab w:val="left" w:pos="384"/>
        </w:tabs>
        <w:ind w:right="117"/>
        <w:rPr>
          <w:rFonts w:eastAsia="Calibri" w:cs="Calibri"/>
          <w:sz w:val="18"/>
        </w:rPr>
      </w:pPr>
      <w:r w:rsidRPr="00A231DA">
        <w:rPr>
          <w:rFonts w:eastAsia="Calibri" w:cs="Calibri"/>
          <w:sz w:val="18"/>
        </w:rPr>
        <w:t>5.</w:t>
      </w:r>
      <w:r w:rsidR="00B4428B">
        <w:rPr>
          <w:rFonts w:eastAsia="Calibri" w:cs="Calibri"/>
          <w:sz w:val="18"/>
        </w:rPr>
        <w:t xml:space="preserve"> </w:t>
      </w:r>
      <w:r w:rsidR="00A83C99" w:rsidRPr="00A83C99">
        <w:rPr>
          <w:rFonts w:eastAsia="Calibri" w:cs="Calibri"/>
          <w:sz w:val="18"/>
        </w:rPr>
        <w:t>Wang</w:t>
      </w:r>
      <w:r w:rsidR="00A83C99">
        <w:rPr>
          <w:rFonts w:eastAsia="Calibri" w:cs="Calibri"/>
          <w:sz w:val="18"/>
        </w:rPr>
        <w:t xml:space="preserve"> Y L</w:t>
      </w:r>
      <w:r w:rsidR="00A83C99" w:rsidRPr="00A83C99">
        <w:rPr>
          <w:rFonts w:eastAsia="Calibri" w:cs="Calibri"/>
          <w:sz w:val="18"/>
        </w:rPr>
        <w:t>, Sun</w:t>
      </w:r>
      <w:r w:rsidR="00A83C99">
        <w:rPr>
          <w:rFonts w:eastAsia="Calibri" w:cs="Calibri"/>
          <w:sz w:val="18"/>
        </w:rPr>
        <w:t xml:space="preserve"> S Y</w:t>
      </w:r>
      <w:r w:rsidR="00A83C99" w:rsidRPr="00A83C99">
        <w:rPr>
          <w:rFonts w:eastAsia="Calibri" w:cs="Calibri"/>
          <w:sz w:val="18"/>
        </w:rPr>
        <w:t>, Zhang</w:t>
      </w:r>
      <w:r w:rsidR="00A83C99">
        <w:rPr>
          <w:rFonts w:eastAsia="Calibri" w:cs="Calibri"/>
          <w:sz w:val="18"/>
        </w:rPr>
        <w:t xml:space="preserve"> Z Y</w:t>
      </w:r>
      <w:r w:rsidR="00A83C99" w:rsidRPr="00A83C99">
        <w:rPr>
          <w:rFonts w:eastAsia="Calibri" w:cs="Calibri"/>
          <w:sz w:val="18"/>
        </w:rPr>
        <w:t>, Shi</w:t>
      </w:r>
      <w:r w:rsidR="00A83C99">
        <w:rPr>
          <w:rFonts w:eastAsia="Calibri" w:cs="Calibri"/>
          <w:sz w:val="18"/>
        </w:rPr>
        <w:t xml:space="preserve"> D, </w:t>
      </w:r>
      <w:r w:rsidR="00A83C99" w:rsidRPr="00A83C99">
        <w:rPr>
          <w:rFonts w:eastAsia="Calibri" w:cs="Calibri"/>
          <w:sz w:val="18"/>
        </w:rPr>
        <w:t>Nanomateria</w:t>
      </w:r>
      <w:r w:rsidR="00A83C99">
        <w:rPr>
          <w:rFonts w:eastAsia="Calibri" w:cs="Calibri"/>
          <w:sz w:val="18"/>
        </w:rPr>
        <w:t xml:space="preserve">ls for Cancer Precision Medicine, </w:t>
      </w:r>
      <w:r w:rsidR="00A83C99" w:rsidRPr="00A83C99">
        <w:rPr>
          <w:rFonts w:eastAsia="Calibri" w:cs="Calibri"/>
          <w:sz w:val="18"/>
        </w:rPr>
        <w:t>Advanced Materials, 1705660 (2018)</w:t>
      </w:r>
    </w:p>
    <w:p w:rsidR="00AE3E37" w:rsidRDefault="008756E6">
      <w:pPr>
        <w:spacing w:line="200" w:lineRule="exact"/>
        <w:jc w:val="both"/>
        <w:rPr>
          <w:rFonts w:ascii="Calibri" w:hAnsi="Calibri"/>
        </w:rPr>
        <w:sectPr w:rsidR="00AE3E37" w:rsidSect="009F6601">
          <w:type w:val="continuous"/>
          <w:pgSz w:w="11910" w:h="16840"/>
          <w:pgMar w:top="1740" w:right="600" w:bottom="840" w:left="620" w:header="720" w:footer="720" w:gutter="0"/>
          <w:cols w:num="2" w:space="720"/>
        </w:sectPr>
      </w:pPr>
      <w:r>
        <w:rPr>
          <w:rFonts w:ascii="Calibri" w:hAnsi="Calibri"/>
        </w:rPr>
        <w:t xml:space="preserve">   </w:t>
      </w:r>
    </w:p>
    <w:p w:rsidR="00AE3E37" w:rsidRDefault="00AE3E37">
      <w:pPr>
        <w:pStyle w:val="BodyText"/>
        <w:rPr>
          <w:rFonts w:ascii="Calibri"/>
          <w:sz w:val="20"/>
        </w:rPr>
      </w:pPr>
    </w:p>
    <w:p w:rsidR="00AE3E37" w:rsidRDefault="00B4428B">
      <w:pPr>
        <w:pStyle w:val="BodyText"/>
        <w:spacing w:line="40" w:lineRule="exact"/>
        <w:ind w:left="2202"/>
        <w:rPr>
          <w:rFonts w:ascii="Calibri"/>
          <w:sz w:val="4"/>
        </w:rPr>
      </w:pPr>
      <w:r w:rsidRPr="00A231DA">
        <w:rPr>
          <w:noProof/>
          <w:lang w:eastAsia="zh-CN"/>
        </w:rPr>
        <w:drawing>
          <wp:anchor distT="0" distB="0" distL="114300" distR="114300" simplePos="0" relativeHeight="251658240" behindDoc="1" locked="0" layoutInCell="1" allowOverlap="1" wp14:anchorId="4B249549" wp14:editId="557FE9A2">
            <wp:simplePos x="0" y="0"/>
            <wp:positionH relativeFrom="column">
              <wp:posOffset>551180</wp:posOffset>
            </wp:positionH>
            <wp:positionV relativeFrom="paragraph">
              <wp:posOffset>1905</wp:posOffset>
            </wp:positionV>
            <wp:extent cx="587375" cy="853440"/>
            <wp:effectExtent l="0" t="0" r="3175" b="3810"/>
            <wp:wrapTight wrapText="bothSides">
              <wp:wrapPolygon edited="0">
                <wp:start x="0" y="0"/>
                <wp:lineTo x="0" y="21214"/>
                <wp:lineTo x="21016" y="21214"/>
                <wp:lineTo x="21016" y="0"/>
                <wp:lineTo x="0" y="0"/>
              </wp:wrapPolygon>
            </wp:wrapTight>
            <wp:docPr id="3" name="Picture 3" descr="C:\Users\Donglu Shi\Desktop\dshi_2017\Donglu Shi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nglu Shi\Desktop\dshi_2017\Donglu Shi 201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7375" cy="853440"/>
                    </a:xfrm>
                    <a:prstGeom prst="rect">
                      <a:avLst/>
                    </a:prstGeom>
                    <a:noFill/>
                    <a:ln>
                      <a:noFill/>
                    </a:ln>
                  </pic:spPr>
                </pic:pic>
              </a:graphicData>
            </a:graphic>
          </wp:anchor>
        </w:drawing>
      </w:r>
      <w:r w:rsidR="00292ED9">
        <w:rPr>
          <w:rFonts w:ascii="Calibri"/>
          <w:noProof/>
          <w:sz w:val="4"/>
          <w:lang w:eastAsia="zh-CN"/>
        </w:rPr>
        <mc:AlternateContent>
          <mc:Choice Requires="wpg">
            <w:drawing>
              <wp:inline distT="0" distB="0" distL="0" distR="0" wp14:anchorId="5EAD2AA9" wp14:editId="344A906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224FD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30316A" w:rsidRDefault="0030316A">
      <w:pPr>
        <w:spacing w:before="41" w:line="154" w:lineRule="exact"/>
        <w:ind w:left="213" w:right="231"/>
        <w:jc w:val="both"/>
        <w:rPr>
          <w:rFonts w:ascii="Arial"/>
          <w:sz w:val="14"/>
        </w:rPr>
      </w:pPr>
    </w:p>
    <w:p w:rsidR="0030316A" w:rsidRDefault="0030316A">
      <w:pPr>
        <w:spacing w:before="41" w:line="154" w:lineRule="exact"/>
        <w:ind w:left="213" w:right="231"/>
        <w:jc w:val="both"/>
        <w:rPr>
          <w:rFonts w:ascii="Arial"/>
          <w:sz w:val="14"/>
        </w:rPr>
      </w:pPr>
    </w:p>
    <w:p w:rsidR="0030316A" w:rsidRDefault="0030316A">
      <w:pPr>
        <w:spacing w:before="41" w:line="154" w:lineRule="exact"/>
        <w:ind w:left="213" w:right="231"/>
        <w:jc w:val="both"/>
        <w:rPr>
          <w:rFonts w:ascii="Arial"/>
          <w:sz w:val="14"/>
        </w:rPr>
      </w:pPr>
    </w:p>
    <w:p w:rsidR="0030316A" w:rsidRDefault="0030316A">
      <w:pPr>
        <w:spacing w:before="41" w:line="154" w:lineRule="exact"/>
        <w:ind w:left="213" w:right="231"/>
        <w:jc w:val="both"/>
        <w:rPr>
          <w:rFonts w:ascii="Arial"/>
          <w:sz w:val="14"/>
        </w:rPr>
      </w:pPr>
    </w:p>
    <w:p w:rsidR="0030316A" w:rsidRDefault="0030316A">
      <w:pPr>
        <w:spacing w:before="41" w:line="154" w:lineRule="exact"/>
        <w:ind w:left="213" w:right="231"/>
        <w:jc w:val="both"/>
        <w:rPr>
          <w:rFonts w:ascii="Arial"/>
          <w:sz w:val="14"/>
        </w:rPr>
      </w:pPr>
    </w:p>
    <w:p w:rsidR="0030316A" w:rsidRDefault="0030316A">
      <w:pPr>
        <w:spacing w:before="41" w:line="154" w:lineRule="exact"/>
        <w:ind w:left="213" w:right="231"/>
        <w:jc w:val="both"/>
        <w:rPr>
          <w:rFonts w:ascii="Arial"/>
          <w:sz w:val="14"/>
        </w:rPr>
      </w:pPr>
    </w:p>
    <w:p w:rsidR="00AE3E37" w:rsidRDefault="0030316A">
      <w:pPr>
        <w:spacing w:before="41" w:line="154" w:lineRule="exact"/>
        <w:ind w:left="213" w:right="231"/>
        <w:jc w:val="both"/>
        <w:rPr>
          <w:rFonts w:ascii="Arial"/>
          <w:sz w:val="14"/>
        </w:rPr>
      </w:pPr>
      <w:r w:rsidRPr="0030316A">
        <w:rPr>
          <w:rFonts w:ascii="Arial"/>
          <w:sz w:val="14"/>
        </w:rPr>
        <w:t>Prof. Donglu Shi is currently the Chair of the Materials Science and Engineering program at College of Engineering and Applied Science, University of Cincinnati. Donglu Shi</w:t>
      </w:r>
      <w:r w:rsidRPr="0030316A">
        <w:rPr>
          <w:rFonts w:ascii="Arial"/>
          <w:sz w:val="14"/>
        </w:rPr>
        <w:t>’</w:t>
      </w:r>
      <w:r w:rsidRPr="0030316A">
        <w:rPr>
          <w:rFonts w:ascii="Arial"/>
          <w:sz w:val="14"/>
        </w:rPr>
        <w:t xml:space="preserve">s research focuses on nanoscience-based precision medicine, cancer diagnosis and therapeutics, and biomaterials, which involve designs of unique material structures that not only interface with biological systems but also offer new bio-chemical-physical properties at </w:t>
      </w:r>
      <w:proofErr w:type="spellStart"/>
      <w:r w:rsidRPr="0030316A">
        <w:rPr>
          <w:rFonts w:ascii="Arial"/>
          <w:sz w:val="14"/>
        </w:rPr>
        <w:t>nano</w:t>
      </w:r>
      <w:proofErr w:type="spellEnd"/>
      <w:r w:rsidRPr="0030316A">
        <w:rPr>
          <w:rFonts w:ascii="Arial"/>
          <w:sz w:val="14"/>
        </w:rPr>
        <w:t xml:space="preserve">-scale for fundamental studies. Donglu Shi has so far published 280 refereed SCI journal publications including Nature, Physical Review Letters, Advanced Materials, and ACS Nano. He is currently the Editor-in-Chief of Nano LIFE, and Associate Editor of Materials Science &amp; Engineering: C, and J. of </w:t>
      </w:r>
      <w:r>
        <w:rPr>
          <w:rFonts w:ascii="Arial"/>
          <w:sz w:val="14"/>
        </w:rPr>
        <w:t xml:space="preserve">Nanomaterials. </w:t>
      </w:r>
    </w:p>
    <w:p w:rsidR="00AE3E37" w:rsidRDefault="00A9710C">
      <w:pPr>
        <w:spacing w:before="62"/>
        <w:ind w:left="4217" w:right="4235"/>
        <w:jc w:val="center"/>
        <w:rPr>
          <w:rFonts w:ascii="Arial"/>
          <w:sz w:val="14"/>
        </w:rPr>
      </w:pPr>
      <w:r>
        <w:rPr>
          <w:rFonts w:ascii="Arial"/>
          <w:sz w:val="14"/>
        </w:rPr>
        <w:t xml:space="preserve">Email: </w:t>
      </w:r>
      <w:hyperlink r:id="rId11" w:history="1">
        <w:r w:rsidR="00BA7B1B" w:rsidRPr="005C5344">
          <w:rPr>
            <w:rStyle w:val="Hyperlink"/>
            <w:rFonts w:ascii="Arial"/>
            <w:sz w:val="14"/>
          </w:rPr>
          <w:t>donglu.shi@uc.edu</w:t>
        </w:r>
      </w:hyperlink>
    </w:p>
    <w:p w:rsidR="00AE3E37" w:rsidRDefault="00292ED9">
      <w:pPr>
        <w:pStyle w:val="BodyText"/>
        <w:spacing w:before="2"/>
        <w:rPr>
          <w:rFonts w:ascii="Arial"/>
          <w:sz w:val="19"/>
        </w:rPr>
      </w:pPr>
      <w:r>
        <w:rPr>
          <w:noProof/>
          <w:lang w:eastAsia="zh-CN"/>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F50B7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310" w:rsidRDefault="00EF7310">
      <w:r>
        <w:separator/>
      </w:r>
    </w:p>
  </w:endnote>
  <w:endnote w:type="continuationSeparator" w:id="0">
    <w:p w:rsidR="00EF7310" w:rsidRDefault="00EF7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310" w:rsidRDefault="00EF7310">
      <w:r>
        <w:separator/>
      </w:r>
    </w:p>
  </w:footnote>
  <w:footnote w:type="continuationSeparator" w:id="0">
    <w:p w:rsidR="00EF7310" w:rsidRDefault="00EF731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1A2B"/>
    <w:rsid w:val="000E2911"/>
    <w:rsid w:val="001263DF"/>
    <w:rsid w:val="001516ED"/>
    <w:rsid w:val="002455EC"/>
    <w:rsid w:val="00292ED9"/>
    <w:rsid w:val="0030316A"/>
    <w:rsid w:val="003865EF"/>
    <w:rsid w:val="00404E5B"/>
    <w:rsid w:val="00414F7B"/>
    <w:rsid w:val="004355DC"/>
    <w:rsid w:val="004749B4"/>
    <w:rsid w:val="00494130"/>
    <w:rsid w:val="004F3523"/>
    <w:rsid w:val="005973B9"/>
    <w:rsid w:val="005B3A56"/>
    <w:rsid w:val="006060CE"/>
    <w:rsid w:val="0063497F"/>
    <w:rsid w:val="006652B2"/>
    <w:rsid w:val="00873DF0"/>
    <w:rsid w:val="008756E6"/>
    <w:rsid w:val="008A08B6"/>
    <w:rsid w:val="009B2D44"/>
    <w:rsid w:val="009F6601"/>
    <w:rsid w:val="00A07E82"/>
    <w:rsid w:val="00A231DA"/>
    <w:rsid w:val="00A64154"/>
    <w:rsid w:val="00A83C99"/>
    <w:rsid w:val="00A9710C"/>
    <w:rsid w:val="00AE3E37"/>
    <w:rsid w:val="00B21A57"/>
    <w:rsid w:val="00B4428B"/>
    <w:rsid w:val="00BA7B1B"/>
    <w:rsid w:val="00C33602"/>
    <w:rsid w:val="00CD6F55"/>
    <w:rsid w:val="00DE3104"/>
    <w:rsid w:val="00E26B10"/>
    <w:rsid w:val="00EF73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7A9013"/>
  <w15:docId w15:val="{6D988960-F3A7-4E1F-970E-EE9653A75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PlainText">
    <w:name w:val="Plain Text"/>
    <w:basedOn w:val="Normal"/>
    <w:link w:val="PlainTextChar"/>
    <w:rsid w:val="009F6601"/>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9F660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onglu.shi@uc.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Donglu Shi</cp:lastModifiedBy>
  <cp:revision>8</cp:revision>
  <dcterms:created xsi:type="dcterms:W3CDTF">2018-10-16T15:36:00Z</dcterms:created>
  <dcterms:modified xsi:type="dcterms:W3CDTF">2018-10-16T15:57:00Z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