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182158" w:rsidP="00494130">
      <w:pPr>
        <w:pStyle w:val="Heading1"/>
        <w:spacing w:before="170"/>
        <w:ind w:left="0"/>
      </w:pPr>
      <w:r>
        <w:rPr>
          <w:color w:val="337AB7"/>
        </w:rPr>
        <w:t xml:space="preserve">Role of Zinc oxide nanoparticles </w:t>
      </w:r>
      <w:r w:rsidR="00852A80">
        <w:rPr>
          <w:color w:val="337AB7"/>
        </w:rPr>
        <w:t xml:space="preserve">in </w:t>
      </w:r>
      <w:r>
        <w:rPr>
          <w:color w:val="337AB7"/>
        </w:rPr>
        <w:t>biomedical</w:t>
      </w:r>
      <w:r w:rsidR="00852A80">
        <w:rPr>
          <w:color w:val="337AB7"/>
        </w:rPr>
        <w:t xml:space="preserve"> applications</w:t>
      </w:r>
    </w:p>
    <w:p w:rsidR="00E27F35" w:rsidRDefault="00E27F35" w:rsidP="005973B9">
      <w:pPr>
        <w:pStyle w:val="BodyText"/>
        <w:spacing w:before="73" w:line="198" w:lineRule="exact"/>
        <w:ind w:left="100" w:right="5987"/>
        <w:rPr>
          <w:rFonts w:ascii="Arial"/>
        </w:rPr>
      </w:pPr>
      <w:r>
        <w:rPr>
          <w:rFonts w:ascii="Arial"/>
        </w:rPr>
        <w:t>Gulzar Ahmed Rather, Phd</w:t>
      </w:r>
      <w:r w:rsidR="00915868">
        <w:rPr>
          <w:rFonts w:ascii="Arial"/>
        </w:rPr>
        <w:t xml:space="preserve"> </w:t>
      </w:r>
    </w:p>
    <w:p w:rsidR="00E27F35" w:rsidRDefault="00E27F35" w:rsidP="005973B9">
      <w:pPr>
        <w:pStyle w:val="BodyText"/>
        <w:spacing w:before="73" w:line="198" w:lineRule="exact"/>
        <w:ind w:left="100" w:right="5987"/>
        <w:rPr>
          <w:rFonts w:ascii="Arial"/>
        </w:rPr>
      </w:pPr>
      <w:r>
        <w:rPr>
          <w:rFonts w:ascii="Arial"/>
        </w:rPr>
        <w:t>Sathyabama, Institute of Science &amp;</w:t>
      </w:r>
    </w:p>
    <w:p w:rsidR="009648F3" w:rsidRDefault="00E27F35" w:rsidP="005973B9">
      <w:pPr>
        <w:pStyle w:val="BodyText"/>
        <w:spacing w:before="73" w:line="198" w:lineRule="exact"/>
        <w:ind w:left="100" w:right="5987"/>
        <w:rPr>
          <w:rFonts w:ascii="Arial"/>
        </w:rPr>
      </w:pPr>
      <w:r>
        <w:rPr>
          <w:rFonts w:ascii="Arial"/>
        </w:rPr>
        <w:t xml:space="preserve">Technology, </w:t>
      </w:r>
      <w:r w:rsidR="009648F3">
        <w:rPr>
          <w:rFonts w:ascii="Arial"/>
        </w:rPr>
        <w:t>Chennai</w:t>
      </w:r>
      <w:r>
        <w:rPr>
          <w:rFonts w:ascii="Arial"/>
        </w:rPr>
        <w:t xml:space="preserve">, </w:t>
      </w:r>
      <w:r w:rsidR="009648F3">
        <w:rPr>
          <w:rFonts w:ascii="Arial"/>
        </w:rPr>
        <w:t>600-119,</w:t>
      </w:r>
    </w:p>
    <w:p w:rsidR="005973B9" w:rsidRDefault="009648F3" w:rsidP="005973B9">
      <w:pPr>
        <w:pStyle w:val="BodyText"/>
        <w:spacing w:before="73" w:line="198" w:lineRule="exact"/>
        <w:ind w:left="100" w:right="5987"/>
        <w:rPr>
          <w:rFonts w:ascii="Arial"/>
        </w:rPr>
      </w:pPr>
      <w:r>
        <w:rPr>
          <w:rFonts w:ascii="Arial"/>
        </w:rPr>
        <w:t xml:space="preserve">Tamil Nadu </w:t>
      </w:r>
      <w:r w:rsidR="00E27F35">
        <w:rPr>
          <w:rFonts w:ascii="Arial"/>
        </w:rPr>
        <w:t>India</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182158" w:rsidRDefault="00A9710C" w:rsidP="00182158">
      <w:pPr>
        <w:pStyle w:val="Heading3"/>
        <w:spacing w:before="147"/>
        <w:jc w:val="both"/>
        <w:rPr>
          <w:color w:val="BF5A14"/>
        </w:rPr>
      </w:pPr>
      <w:r>
        <w:rPr>
          <w:color w:val="BF5A14"/>
        </w:rPr>
        <w:lastRenderedPageBreak/>
        <w:t>Abstract</w:t>
      </w:r>
      <w:r w:rsidR="007E7AC3">
        <w:rPr>
          <w:color w:val="BF5A14"/>
        </w:rPr>
        <w:t xml:space="preserve"> </w:t>
      </w:r>
    </w:p>
    <w:p w:rsidR="00182158" w:rsidRDefault="00182158" w:rsidP="0008319B">
      <w:pPr>
        <w:pStyle w:val="Heading3"/>
        <w:spacing w:before="74"/>
        <w:ind w:left="0"/>
        <w:jc w:val="both"/>
        <w:rPr>
          <w:b w:val="0"/>
          <w:sz w:val="16"/>
          <w:szCs w:val="16"/>
        </w:rPr>
      </w:pPr>
    </w:p>
    <w:p w:rsidR="00EC2D47" w:rsidRDefault="00EC2D47" w:rsidP="00060D4E">
      <w:pPr>
        <w:pStyle w:val="Heading3"/>
        <w:spacing w:before="74" w:line="360" w:lineRule="auto"/>
        <w:ind w:left="0"/>
        <w:jc w:val="both"/>
        <w:rPr>
          <w:b w:val="0"/>
          <w:sz w:val="16"/>
          <w:szCs w:val="16"/>
        </w:rPr>
      </w:pPr>
      <w:r>
        <w:rPr>
          <w:b w:val="0"/>
          <w:sz w:val="16"/>
          <w:szCs w:val="16"/>
        </w:rPr>
        <w:t>Over</w:t>
      </w:r>
      <w:r w:rsidR="00182158">
        <w:rPr>
          <w:b w:val="0"/>
          <w:sz w:val="16"/>
          <w:szCs w:val="16"/>
        </w:rPr>
        <w:t xml:space="preserve"> the past years the use metal oxide nanoparticles have gained</w:t>
      </w:r>
      <w:r w:rsidR="007946C0">
        <w:rPr>
          <w:b w:val="0"/>
          <w:sz w:val="16"/>
          <w:szCs w:val="16"/>
        </w:rPr>
        <w:t xml:space="preserve"> greater </w:t>
      </w:r>
      <w:r>
        <w:rPr>
          <w:b w:val="0"/>
          <w:sz w:val="16"/>
          <w:szCs w:val="16"/>
        </w:rPr>
        <w:t xml:space="preserve">interest due to their variety of applications in medicine, agriculture, environment, and electronics. Among the metal oxide nanoparticles Zinc oxide nanoparticles has been extensively </w:t>
      </w:r>
      <w:r w:rsidR="008B78D2">
        <w:rPr>
          <w:b w:val="0"/>
          <w:sz w:val="16"/>
          <w:szCs w:val="16"/>
        </w:rPr>
        <w:t>studied, due to its unique antibacterial, wound healing, UV filtering, photochemical, catalytic and semiconducting properties. It has drawn much attention towards biomedical applications like in drug delivery, biological labeling, sensing and as nanomedicine.</w:t>
      </w:r>
      <w:r w:rsidR="007946C0">
        <w:rPr>
          <w:b w:val="0"/>
          <w:sz w:val="16"/>
          <w:szCs w:val="16"/>
        </w:rPr>
        <w:t xml:space="preserve">There are different methods for the synthesis of Zinc oxide nanoparticles like physical, chemical and biological. The physical and chemical methods are quite expensive required high temperatures and chemicals. To over these issues biological methods using plant extracts are preferred over physical and chemical methods. Biological methods using plant extracts are biocompatible. </w:t>
      </w:r>
      <w:r w:rsidR="00D35DEF">
        <w:rPr>
          <w:b w:val="0"/>
          <w:sz w:val="16"/>
          <w:szCs w:val="16"/>
        </w:rPr>
        <w:t>Non-toxic</w:t>
      </w:r>
      <w:r w:rsidR="007946C0">
        <w:rPr>
          <w:b w:val="0"/>
          <w:sz w:val="16"/>
          <w:szCs w:val="16"/>
        </w:rPr>
        <w:t xml:space="preserve"> and one step </w:t>
      </w:r>
      <w:r w:rsidR="00D35DEF">
        <w:rPr>
          <w:b w:val="0"/>
          <w:sz w:val="16"/>
          <w:szCs w:val="16"/>
        </w:rPr>
        <w:t xml:space="preserve">approach. Plants are the greatest source for large production of nanoparticles. The photochemicals present in plant extracts like alkaloids, phenolics, terpenes and tannins acts as capping and reducing </w:t>
      </w:r>
      <w:r w:rsidR="00060D4E">
        <w:rPr>
          <w:b w:val="0"/>
          <w:sz w:val="16"/>
          <w:szCs w:val="16"/>
        </w:rPr>
        <w:t>agents. In</w:t>
      </w:r>
      <w:r w:rsidR="00D35DEF">
        <w:rPr>
          <w:b w:val="0"/>
          <w:sz w:val="16"/>
          <w:szCs w:val="16"/>
        </w:rPr>
        <w:t xml:space="preserve"> this paper we will discuss the</w:t>
      </w:r>
      <w:r w:rsidR="00060D4E">
        <w:rPr>
          <w:b w:val="0"/>
          <w:sz w:val="16"/>
          <w:szCs w:val="16"/>
        </w:rPr>
        <w:t xml:space="preserve"> role of plant mediated Zinc oxide nanoparticles and their biomedical applications in detail.</w:t>
      </w:r>
    </w:p>
    <w:p w:rsidR="00EC2D47" w:rsidRDefault="00EC2D47" w:rsidP="0008319B">
      <w:pPr>
        <w:pStyle w:val="Heading3"/>
        <w:spacing w:before="74"/>
        <w:ind w:left="0"/>
        <w:jc w:val="both"/>
        <w:rPr>
          <w:b w:val="0"/>
          <w:sz w:val="16"/>
          <w:szCs w:val="16"/>
        </w:rPr>
      </w:pPr>
      <w:r w:rsidRPr="007B7293">
        <w:rPr>
          <w:b w:val="0"/>
          <w:sz w:val="16"/>
          <w:szCs w:val="16"/>
        </w:rPr>
        <w:t xml:space="preserve"> </w:t>
      </w:r>
    </w:p>
    <w:p w:rsidR="00182158" w:rsidRDefault="00182158" w:rsidP="0008319B">
      <w:pPr>
        <w:pStyle w:val="Heading3"/>
        <w:spacing w:before="74"/>
        <w:ind w:left="0"/>
        <w:jc w:val="both"/>
        <w:rPr>
          <w:b w:val="0"/>
          <w:sz w:val="16"/>
          <w:szCs w:val="16"/>
        </w:rPr>
      </w:pPr>
    </w:p>
    <w:p w:rsidR="00182158" w:rsidRDefault="00182158" w:rsidP="0008319B">
      <w:pPr>
        <w:pStyle w:val="Heading3"/>
        <w:spacing w:before="74"/>
        <w:ind w:left="0"/>
        <w:jc w:val="both"/>
        <w:rPr>
          <w:b w:val="0"/>
          <w:sz w:val="16"/>
          <w:szCs w:val="16"/>
        </w:rPr>
      </w:pPr>
    </w:p>
    <w:p w:rsidR="00182158" w:rsidRDefault="00182158" w:rsidP="0008319B">
      <w:pPr>
        <w:pStyle w:val="Heading3"/>
        <w:spacing w:before="74"/>
        <w:ind w:left="0"/>
        <w:jc w:val="both"/>
        <w:rPr>
          <w:b w:val="0"/>
          <w:sz w:val="16"/>
          <w:szCs w:val="16"/>
        </w:rPr>
      </w:pPr>
    </w:p>
    <w:p w:rsidR="00182158" w:rsidRDefault="00182158" w:rsidP="0008319B">
      <w:pPr>
        <w:pStyle w:val="Heading3"/>
        <w:spacing w:before="74"/>
        <w:ind w:left="0"/>
        <w:jc w:val="both"/>
        <w:rPr>
          <w:b w:val="0"/>
          <w:sz w:val="16"/>
          <w:szCs w:val="16"/>
        </w:rPr>
      </w:pPr>
    </w:p>
    <w:p w:rsidR="00182158" w:rsidRDefault="00182158" w:rsidP="0008319B">
      <w:pPr>
        <w:pStyle w:val="Heading3"/>
        <w:spacing w:before="74"/>
        <w:ind w:left="0"/>
        <w:jc w:val="both"/>
        <w:rPr>
          <w:b w:val="0"/>
          <w:sz w:val="16"/>
          <w:szCs w:val="16"/>
        </w:rPr>
      </w:pPr>
    </w:p>
    <w:p w:rsidR="00852A80" w:rsidRDefault="00852A80" w:rsidP="0008319B">
      <w:pPr>
        <w:pStyle w:val="Heading3"/>
        <w:spacing w:before="74"/>
        <w:ind w:left="0"/>
        <w:jc w:val="both"/>
        <w:rPr>
          <w:b w:val="0"/>
        </w:rPr>
      </w:pPr>
    </w:p>
    <w:p w:rsidR="00AE3E37" w:rsidRDefault="00182158" w:rsidP="0008319B">
      <w:pPr>
        <w:pStyle w:val="Heading3"/>
        <w:spacing w:before="74"/>
        <w:ind w:left="0"/>
        <w:jc w:val="both"/>
      </w:pPr>
      <w:r>
        <w:rPr>
          <w:b w:val="0"/>
          <w:noProof/>
        </w:rPr>
        <w:drawing>
          <wp:anchor distT="0" distB="0" distL="114300" distR="114300" simplePos="0" relativeHeight="251659264" behindDoc="0" locked="0" layoutInCell="1" allowOverlap="1">
            <wp:simplePos x="0" y="0"/>
            <wp:positionH relativeFrom="column">
              <wp:posOffset>48194</wp:posOffset>
            </wp:positionH>
            <wp:positionV relativeFrom="paragraph">
              <wp:posOffset>111928</wp:posOffset>
            </wp:positionV>
            <wp:extent cx="888365" cy="935542"/>
            <wp:effectExtent l="19050" t="0" r="6985" b="0"/>
            <wp:wrapNone/>
            <wp:docPr id="3" name="Picture 2" descr="image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bmp"/>
                    <pic:cNvPicPr/>
                  </pic:nvPicPr>
                  <pic:blipFill>
                    <a:blip r:embed="rId9"/>
                    <a:stretch>
                      <a:fillRect/>
                    </a:stretch>
                  </pic:blipFill>
                  <pic:spPr>
                    <a:xfrm>
                      <a:off x="0" y="0"/>
                      <a:ext cx="888365" cy="935542"/>
                    </a:xfrm>
                    <a:prstGeom prst="rect">
                      <a:avLst/>
                    </a:prstGeom>
                  </pic:spPr>
                </pic:pic>
              </a:graphicData>
            </a:graphic>
          </wp:anchor>
        </w:drawing>
      </w:r>
      <w:r w:rsidR="00A9710C">
        <w:rPr>
          <w:b w:val="0"/>
        </w:rPr>
        <w:br w:type="column"/>
      </w:r>
      <w:r w:rsidR="00A9710C">
        <w:rPr>
          <w:color w:val="BF5A14"/>
        </w:rPr>
        <w:lastRenderedPageBreak/>
        <w:t>Image</w:t>
      </w:r>
    </w:p>
    <w:p w:rsidR="00AE3E37" w:rsidRDefault="00F007D2">
      <w:pPr>
        <w:pStyle w:val="BodyText"/>
        <w:spacing w:before="2"/>
        <w:rPr>
          <w:rFonts w:ascii="Arial"/>
          <w:b/>
          <w:sz w:val="16"/>
        </w:rPr>
      </w:pPr>
      <w:r>
        <w:rPr>
          <w:rFonts w:ascii="Arial"/>
          <w:b/>
          <w:noProof/>
          <w:sz w:val="16"/>
        </w:rPr>
        <w:drawing>
          <wp:inline distT="0" distB="0" distL="0" distR="0">
            <wp:extent cx="3162849" cy="1659662"/>
            <wp:effectExtent l="19050" t="0" r="0" b="0"/>
            <wp:docPr id="4" name="Picture 4" descr="D:\GENERAL IMAGES PHOTOS\biomedic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GENERAL IMAGES PHOTOS\biomedical.png"/>
                    <pic:cNvPicPr>
                      <a:picLocks noChangeAspect="1" noChangeArrowheads="1"/>
                    </pic:cNvPicPr>
                  </pic:nvPicPr>
                  <pic:blipFill>
                    <a:blip r:embed="rId10"/>
                    <a:srcRect/>
                    <a:stretch>
                      <a:fillRect/>
                    </a:stretch>
                  </pic:blipFill>
                  <pic:spPr bwMode="auto">
                    <a:xfrm>
                      <a:off x="0" y="0"/>
                      <a:ext cx="3165475" cy="1661040"/>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915868" w:rsidRDefault="00915868" w:rsidP="005973B9">
      <w:pPr>
        <w:pStyle w:val="ListParagraph"/>
        <w:numPr>
          <w:ilvl w:val="0"/>
          <w:numId w:val="3"/>
        </w:numPr>
        <w:tabs>
          <w:tab w:val="left" w:pos="384"/>
        </w:tabs>
        <w:spacing w:line="216" w:lineRule="exact"/>
        <w:ind w:right="137" w:hanging="283"/>
        <w:rPr>
          <w:sz w:val="18"/>
        </w:rPr>
      </w:pPr>
      <w:r w:rsidRPr="009648F3">
        <w:rPr>
          <w:sz w:val="18"/>
        </w:rPr>
        <w:t>Rather, G. A.,</w:t>
      </w:r>
      <w:r w:rsidRPr="00915868">
        <w:rPr>
          <w:sz w:val="18"/>
        </w:rPr>
        <w:t xml:space="preserve"> Chakravorty, A., Bhat, B. A., Malik, I. M., Mir, F. H., Sana, S. S., &amp; Choudhury, M. (2021). Routes of Synthesis and Characterizations of Nanoparticles. In </w:t>
      </w:r>
      <w:r w:rsidRPr="00915868">
        <w:rPr>
          <w:i/>
          <w:iCs/>
          <w:sz w:val="18"/>
        </w:rPr>
        <w:t>Applications of Nanomaterials in Agriculture, Food Science, and Medicine</w:t>
      </w:r>
      <w:r w:rsidRPr="00915868">
        <w:rPr>
          <w:sz w:val="18"/>
        </w:rPr>
        <w:t> (pp. 288-309). IGI Global.</w:t>
      </w:r>
    </w:p>
    <w:p w:rsidR="00915868" w:rsidRDefault="00915868" w:rsidP="005973B9">
      <w:pPr>
        <w:pStyle w:val="ListParagraph"/>
        <w:numPr>
          <w:ilvl w:val="0"/>
          <w:numId w:val="3"/>
        </w:numPr>
        <w:tabs>
          <w:tab w:val="left" w:pos="384"/>
        </w:tabs>
        <w:spacing w:line="216" w:lineRule="exact"/>
        <w:ind w:right="138" w:hanging="283"/>
        <w:rPr>
          <w:sz w:val="18"/>
        </w:rPr>
      </w:pPr>
      <w:r w:rsidRPr="00915868">
        <w:rPr>
          <w:sz w:val="18"/>
        </w:rPr>
        <w:t>Mir, M. A., Bhat, B. A., Sheikh, B. A</w:t>
      </w:r>
      <w:r w:rsidRPr="009648F3">
        <w:rPr>
          <w:sz w:val="18"/>
        </w:rPr>
        <w:t>., Rather, G. A</w:t>
      </w:r>
      <w:r w:rsidRPr="00915868">
        <w:rPr>
          <w:sz w:val="18"/>
        </w:rPr>
        <w:t>., Mehraj, S., &amp; Mir, W. R. (2021). Nanomedicine in Human Health Therapeutics and Drug Delivery: Nanobiotechnology and Nanobiomedicine. In </w:t>
      </w:r>
      <w:r w:rsidRPr="00915868">
        <w:rPr>
          <w:i/>
          <w:iCs/>
          <w:sz w:val="18"/>
        </w:rPr>
        <w:t>Applications of Nanomaterials in Agriculture, Food Science, and Medicine</w:t>
      </w:r>
      <w:r w:rsidRPr="00915868">
        <w:rPr>
          <w:sz w:val="18"/>
        </w:rPr>
        <w:t> (pp. 229-251). IGI Global.</w:t>
      </w:r>
    </w:p>
    <w:p w:rsidR="005973B9" w:rsidRPr="009648F3" w:rsidRDefault="00915868" w:rsidP="005973B9">
      <w:pPr>
        <w:pStyle w:val="ListParagraph"/>
        <w:numPr>
          <w:ilvl w:val="0"/>
          <w:numId w:val="3"/>
        </w:numPr>
        <w:tabs>
          <w:tab w:val="left" w:pos="384"/>
        </w:tabs>
        <w:spacing w:line="216" w:lineRule="exact"/>
        <w:ind w:right="138" w:hanging="283"/>
        <w:rPr>
          <w:sz w:val="18"/>
        </w:rPr>
      </w:pPr>
      <w:r w:rsidRPr="00915868">
        <w:rPr>
          <w:sz w:val="18"/>
        </w:rPr>
        <w:t>Majeed, S., Danish</w:t>
      </w:r>
      <w:r w:rsidRPr="009648F3">
        <w:rPr>
          <w:sz w:val="18"/>
        </w:rPr>
        <w:t>, M., Ibrahim, M. N. M., Sekeri, S. H., Ansari, M. T., Nanda, A., &amp; Ahmad, G. (2020). Bacteria Mediated Synthesis of Iron Oxide Nanoparticles and Their Antibacterial, Antioxidant, Cytocompatibility Properties. </w:t>
      </w:r>
      <w:r w:rsidRPr="009648F3">
        <w:rPr>
          <w:i/>
          <w:iCs/>
          <w:sz w:val="18"/>
        </w:rPr>
        <w:t>Journal of Cluster Science</w:t>
      </w:r>
      <w:r w:rsidRPr="009648F3">
        <w:rPr>
          <w:sz w:val="18"/>
        </w:rPr>
        <w:t>, 1-12.</w:t>
      </w:r>
      <w:r w:rsidR="005973B9" w:rsidRPr="009648F3">
        <w:rPr>
          <w:sz w:val="18"/>
        </w:rPr>
        <w:t>.</w:t>
      </w:r>
    </w:p>
    <w:p w:rsidR="00915868" w:rsidRPr="009648F3" w:rsidRDefault="00915868" w:rsidP="00915868">
      <w:pPr>
        <w:pStyle w:val="ListParagraph"/>
        <w:numPr>
          <w:ilvl w:val="0"/>
          <w:numId w:val="3"/>
        </w:numPr>
        <w:tabs>
          <w:tab w:val="left" w:pos="384"/>
        </w:tabs>
        <w:spacing w:line="216" w:lineRule="exact"/>
        <w:ind w:right="138" w:hanging="283"/>
        <w:rPr>
          <w:sz w:val="18"/>
        </w:rPr>
      </w:pPr>
      <w:r w:rsidRPr="009648F3">
        <w:rPr>
          <w:sz w:val="18"/>
        </w:rPr>
        <w:t>Rather, G. A., Bhat, M. Y., Sana, S. S., Ali, A., Gul, M. Z., Nanda, A., &amp; Hassan, M. (2020). Quince. In Antioxidants in Fruits: Properties and Health Benefits (pp. 397-416). Springer, Singapore.</w:t>
      </w:r>
    </w:p>
    <w:p w:rsidR="005973B9" w:rsidRPr="009648F3" w:rsidRDefault="00915868" w:rsidP="005B20F9">
      <w:pPr>
        <w:pStyle w:val="BodyText"/>
        <w:numPr>
          <w:ilvl w:val="0"/>
          <w:numId w:val="3"/>
        </w:numPr>
        <w:spacing w:before="85" w:line="216" w:lineRule="exact"/>
        <w:ind w:right="138"/>
        <w:jc w:val="both"/>
        <w:rPr>
          <w:rFonts w:ascii="Calibri" w:hAnsi="Calibri"/>
        </w:rPr>
      </w:pPr>
      <w:r w:rsidRPr="009648F3">
        <w:rPr>
          <w:rFonts w:ascii="Calibri" w:hAnsi="Calibri"/>
        </w:rPr>
        <w:t>Chakravorty, A., Rather, G. A., Ali, A., Bhat, B. A., Sana, S. S., Abhishek, N., &amp; Nanda, A. (2020). Nano Approach: Indian Spices as Antimicrobial Agents. In </w:t>
      </w:r>
      <w:r w:rsidRPr="009648F3">
        <w:rPr>
          <w:rFonts w:ascii="Calibri" w:hAnsi="Calibri"/>
          <w:i/>
          <w:iCs/>
        </w:rPr>
        <w:t>Ethno pharmacological Investigation of Indian Spices</w:t>
      </w:r>
      <w:r w:rsidRPr="009648F3">
        <w:rPr>
          <w:rFonts w:ascii="Calibri" w:hAnsi="Calibri"/>
        </w:rPr>
        <w:t> (pp. 205-241). IGI Global.</w:t>
      </w:r>
    </w:p>
    <w:p w:rsidR="005B20F9" w:rsidRDefault="005B20F9" w:rsidP="005B20F9">
      <w:pPr>
        <w:pStyle w:val="BodyText"/>
        <w:numPr>
          <w:ilvl w:val="0"/>
          <w:numId w:val="3"/>
        </w:numPr>
        <w:spacing w:before="85" w:line="216" w:lineRule="exact"/>
        <w:ind w:right="138"/>
        <w:jc w:val="both"/>
        <w:rPr>
          <w:rFonts w:ascii="Calibri" w:hAnsi="Calibri"/>
        </w:rPr>
      </w:pPr>
      <w:r w:rsidRPr="009648F3">
        <w:rPr>
          <w:rFonts w:ascii="Calibri" w:hAnsi="Calibri"/>
        </w:rPr>
        <w:t>Ali, A., Bhat, B. A., Rather, G. A.,</w:t>
      </w:r>
      <w:r w:rsidRPr="005B20F9">
        <w:rPr>
          <w:rFonts w:ascii="Calibri" w:hAnsi="Calibri"/>
        </w:rPr>
        <w:t xml:space="preserve"> Malla, B. A., &amp; Ganie, S. A. (2020). Proteomic studies of micronutrient deficiency and toxicity. In </w:t>
      </w:r>
      <w:r w:rsidRPr="005B20F9">
        <w:rPr>
          <w:rFonts w:ascii="Calibri" w:hAnsi="Calibri"/>
          <w:i/>
          <w:iCs/>
        </w:rPr>
        <w:t>Plant Micronutrients</w:t>
      </w:r>
      <w:r w:rsidRPr="005B20F9">
        <w:rPr>
          <w:rFonts w:ascii="Calibri" w:hAnsi="Calibri"/>
        </w:rPr>
        <w:t> (pp. 257-284). Springer, Cham.</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850613">
      <w:pPr>
        <w:pStyle w:val="BodyText"/>
        <w:spacing w:line="40" w:lineRule="exact"/>
        <w:ind w:left="2202"/>
        <w:rPr>
          <w:rFonts w:ascii="Calibri"/>
          <w:sz w:val="4"/>
        </w:rPr>
      </w:pPr>
      <w:r w:rsidRPr="00850613">
        <w:rPr>
          <w:rFonts w:ascii="Calibri"/>
          <w:noProof/>
          <w:sz w:val="4"/>
          <w:lang w:val="en-IN" w:eastAsia="en-IN"/>
        </w:rPr>
      </w:r>
      <w:r w:rsidRPr="00850613">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AE3E37" w:rsidRDefault="00F007D2">
      <w:pPr>
        <w:spacing w:before="41" w:line="154" w:lineRule="exact"/>
        <w:ind w:left="213" w:right="231"/>
        <w:jc w:val="both"/>
        <w:rPr>
          <w:rFonts w:ascii="Arial"/>
          <w:sz w:val="14"/>
        </w:rPr>
      </w:pPr>
      <w:r>
        <w:rPr>
          <w:rFonts w:ascii="Arial"/>
          <w:sz w:val="14"/>
        </w:rPr>
        <w:t xml:space="preserve">Mr.Gulzar Ahmed Rather is </w:t>
      </w:r>
      <w:r w:rsidR="007E7AC3">
        <w:rPr>
          <w:rFonts w:ascii="Arial"/>
          <w:sz w:val="14"/>
        </w:rPr>
        <w:t>researcher in nanobiotechnology.H</w:t>
      </w:r>
      <w:r w:rsidR="009648F3">
        <w:rPr>
          <w:rFonts w:ascii="Arial"/>
          <w:sz w:val="14"/>
        </w:rPr>
        <w:t>e</w:t>
      </w:r>
      <w:r>
        <w:rPr>
          <w:rFonts w:ascii="Arial"/>
          <w:sz w:val="14"/>
        </w:rPr>
        <w:t xml:space="preserve"> has done masters in biochemistry and </w:t>
      </w:r>
      <w:r w:rsidR="007E7AC3">
        <w:rPr>
          <w:rFonts w:ascii="Arial"/>
          <w:sz w:val="14"/>
        </w:rPr>
        <w:t xml:space="preserve">currently </w:t>
      </w:r>
      <w:r>
        <w:rPr>
          <w:rFonts w:ascii="Arial"/>
          <w:sz w:val="14"/>
        </w:rPr>
        <w:t>PhD in nanobiotechnology.He has attended almost fifteen national and international conference</w:t>
      </w:r>
      <w:r w:rsidR="007E7AC3">
        <w:rPr>
          <w:rFonts w:ascii="Arial"/>
          <w:sz w:val="14"/>
        </w:rPr>
        <w:t>s</w:t>
      </w:r>
      <w:r>
        <w:rPr>
          <w:rFonts w:ascii="Arial"/>
          <w:sz w:val="14"/>
        </w:rPr>
        <w:t xml:space="preserve">, and more than twenty </w:t>
      </w:r>
      <w:r w:rsidR="009648F3">
        <w:rPr>
          <w:rFonts w:ascii="Arial"/>
          <w:sz w:val="14"/>
        </w:rPr>
        <w:t>webinars. He</w:t>
      </w:r>
      <w:r>
        <w:rPr>
          <w:rFonts w:ascii="Arial"/>
          <w:sz w:val="14"/>
        </w:rPr>
        <w:t xml:space="preserve"> has been awarded several times in many </w:t>
      </w:r>
      <w:r w:rsidR="009648F3">
        <w:rPr>
          <w:rFonts w:ascii="Arial"/>
          <w:sz w:val="14"/>
        </w:rPr>
        <w:t>conferences. In</w:t>
      </w:r>
      <w:r>
        <w:rPr>
          <w:rFonts w:ascii="Arial"/>
          <w:sz w:val="14"/>
        </w:rPr>
        <w:t xml:space="preserve"> his </w:t>
      </w:r>
      <w:r w:rsidR="009648F3">
        <w:rPr>
          <w:rFonts w:ascii="Arial"/>
          <w:sz w:val="14"/>
        </w:rPr>
        <w:t>PhD</w:t>
      </w:r>
      <w:r>
        <w:rPr>
          <w:rFonts w:ascii="Arial"/>
          <w:sz w:val="14"/>
        </w:rPr>
        <w:t xml:space="preserve"> he has worked on </w:t>
      </w:r>
      <w:r w:rsidR="009648F3">
        <w:rPr>
          <w:rFonts w:ascii="Arial"/>
          <w:sz w:val="14"/>
        </w:rPr>
        <w:t xml:space="preserve">biomedical applications of Zinc Oxide nanoparticles through biological synthesis. He is expertise in synthesizing and characterization of </w:t>
      </w:r>
      <w:r w:rsidR="007E7AC3">
        <w:rPr>
          <w:rFonts w:ascii="Arial"/>
          <w:sz w:val="14"/>
        </w:rPr>
        <w:t>nanomaterials. He</w:t>
      </w:r>
      <w:r w:rsidR="009648F3">
        <w:rPr>
          <w:rFonts w:ascii="Arial"/>
          <w:sz w:val="14"/>
        </w:rPr>
        <w:t xml:space="preserve"> has published six books chapters and several review and research articles. He is working in collaboration with other scientist for review articles and book chapter from Jazan University Saudi Arabia, Hubei University, IT Chennai, North University of China and Kashmir University.</w:t>
      </w:r>
    </w:p>
    <w:p w:rsidR="00AE3E37" w:rsidRDefault="00A9710C">
      <w:pPr>
        <w:spacing w:before="62"/>
        <w:ind w:left="4217" w:right="4235"/>
        <w:jc w:val="center"/>
        <w:rPr>
          <w:rFonts w:ascii="Arial"/>
          <w:sz w:val="14"/>
        </w:rPr>
      </w:pPr>
      <w:r>
        <w:rPr>
          <w:rFonts w:ascii="Arial"/>
          <w:sz w:val="14"/>
        </w:rPr>
        <w:t xml:space="preserve">Email: </w:t>
      </w:r>
      <w:r w:rsidR="005766DC" w:rsidRPr="005766DC">
        <w:rPr>
          <w:rFonts w:ascii="Arial"/>
          <w:color w:val="00B0F0"/>
          <w:sz w:val="14"/>
          <w:u w:val="single"/>
        </w:rPr>
        <w:t>rathergulzar5@gmail.com</w:t>
      </w:r>
    </w:p>
    <w:p w:rsidR="00AE3E37" w:rsidRDefault="00850613">
      <w:pPr>
        <w:pStyle w:val="BodyText"/>
        <w:spacing w:before="2"/>
        <w:rPr>
          <w:rFonts w:ascii="Arial"/>
          <w:sz w:val="19"/>
        </w:rPr>
      </w:pPr>
      <w:r w:rsidRPr="00850613">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Pr="00B21A57" w:rsidRDefault="00A9710C" w:rsidP="009648F3">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15C8" w:rsidRDefault="009715C8">
      <w:r>
        <w:separator/>
      </w:r>
    </w:p>
  </w:endnote>
  <w:endnote w:type="continuationSeparator" w:id="1">
    <w:p w:rsidR="009715C8" w:rsidRDefault="009715C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868" w:rsidRDefault="00915868">
    <w:pPr>
      <w:pStyle w:val="BodyText"/>
      <w:spacing w:line="14" w:lineRule="auto"/>
      <w:rPr>
        <w:sz w:val="20"/>
      </w:rPr>
    </w:pPr>
    <w:r w:rsidRPr="00850613">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915868" w:rsidRPr="005B3A56" w:rsidRDefault="0091586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915868" w:rsidRPr="005B3A56" w:rsidRDefault="00915868">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50613">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915868" w:rsidRPr="005B3A56" w:rsidRDefault="0091586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915868" w:rsidRPr="005B3A56" w:rsidRDefault="0091586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50613">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915868" w:rsidRPr="005B3A56" w:rsidRDefault="0091586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915868" w:rsidRPr="005B3A56" w:rsidRDefault="0091586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15C8" w:rsidRDefault="009715C8">
      <w:r>
        <w:separator/>
      </w:r>
    </w:p>
  </w:footnote>
  <w:footnote w:type="continuationSeparator" w:id="1">
    <w:p w:rsidR="009715C8" w:rsidRDefault="009715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868" w:rsidRDefault="00915868">
    <w:pPr>
      <w:pStyle w:val="BodyText"/>
      <w:spacing w:line="14" w:lineRule="auto"/>
      <w:rPr>
        <w:sz w:val="20"/>
      </w:rPr>
    </w:pPr>
    <w:r w:rsidRPr="00850613">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915868" w:rsidRPr="005B3A56" w:rsidRDefault="0091586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01343"/>
    <w:rsid w:val="00060D4E"/>
    <w:rsid w:val="0008319B"/>
    <w:rsid w:val="000E2911"/>
    <w:rsid w:val="001263DF"/>
    <w:rsid w:val="00182158"/>
    <w:rsid w:val="002455EC"/>
    <w:rsid w:val="00292ED9"/>
    <w:rsid w:val="00404E5B"/>
    <w:rsid w:val="00414F7B"/>
    <w:rsid w:val="004355DC"/>
    <w:rsid w:val="004749B4"/>
    <w:rsid w:val="00494130"/>
    <w:rsid w:val="004F3523"/>
    <w:rsid w:val="005766DC"/>
    <w:rsid w:val="005973B9"/>
    <w:rsid w:val="005B20F9"/>
    <w:rsid w:val="005B3A56"/>
    <w:rsid w:val="006060CE"/>
    <w:rsid w:val="0063497F"/>
    <w:rsid w:val="007946C0"/>
    <w:rsid w:val="007B7293"/>
    <w:rsid w:val="007E7AC3"/>
    <w:rsid w:val="00850613"/>
    <w:rsid w:val="00852A80"/>
    <w:rsid w:val="00873DF0"/>
    <w:rsid w:val="008756E6"/>
    <w:rsid w:val="008A08B6"/>
    <w:rsid w:val="008B78D2"/>
    <w:rsid w:val="00915868"/>
    <w:rsid w:val="009648F3"/>
    <w:rsid w:val="009715C8"/>
    <w:rsid w:val="009B2D44"/>
    <w:rsid w:val="00A07E82"/>
    <w:rsid w:val="00A9710C"/>
    <w:rsid w:val="00AE3E37"/>
    <w:rsid w:val="00B21A57"/>
    <w:rsid w:val="00C33602"/>
    <w:rsid w:val="00CD6F55"/>
    <w:rsid w:val="00D35DEF"/>
    <w:rsid w:val="00DA42A9"/>
    <w:rsid w:val="00DE3104"/>
    <w:rsid w:val="00E26B10"/>
    <w:rsid w:val="00E27F35"/>
    <w:rsid w:val="00EA7F6A"/>
    <w:rsid w:val="00EC2D47"/>
    <w:rsid w:val="00F007D2"/>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RUBAYA</cp:lastModifiedBy>
  <cp:revision>2</cp:revision>
  <dcterms:created xsi:type="dcterms:W3CDTF">2021-02-09T11:18:00Z</dcterms:created>
  <dcterms:modified xsi:type="dcterms:W3CDTF">2021-02-09T11:18:00Z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