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D9556B" w:rsidP="00494130">
      <w:pPr>
        <w:pStyle w:val="1"/>
        <w:spacing w:before="170"/>
        <w:ind w:left="0"/>
      </w:pPr>
      <w:r w:rsidRPr="00D9556B">
        <w:rPr>
          <w:color w:val="337AB7"/>
        </w:rPr>
        <w:t xml:space="preserve">A cleavable chimeric peptide-R7: enhancing the dual-function of LPS neutralization and antibacterial properties against MDR </w:t>
      </w:r>
      <w:r w:rsidRPr="00D9556B">
        <w:rPr>
          <w:i/>
          <w:color w:val="337AB7"/>
        </w:rPr>
        <w:t>E. coli</w:t>
      </w:r>
    </w:p>
    <w:p w:rsidR="00A16162" w:rsidRDefault="00A16162" w:rsidP="00A16162">
      <w:proofErr w:type="spellStart"/>
      <w:r w:rsidRPr="00A16162">
        <w:t>Zhenlong</w:t>
      </w:r>
      <w:proofErr w:type="spellEnd"/>
      <w:r w:rsidRPr="00A16162">
        <w:t xml:space="preserve"> Wang</w:t>
      </w:r>
      <w:r w:rsidRPr="00F200A1">
        <w:rPr>
          <w:vertAlign w:val="superscript"/>
        </w:rPr>
        <w:t>1,2</w:t>
      </w:r>
      <w:r w:rsidRPr="00A16162">
        <w:t>, Da Teng</w:t>
      </w:r>
      <w:r w:rsidRPr="00F200A1">
        <w:rPr>
          <w:vertAlign w:val="superscript"/>
        </w:rPr>
        <w:t>1,2</w:t>
      </w:r>
      <w:r w:rsidRPr="00A16162">
        <w:t xml:space="preserve">, </w:t>
      </w:r>
      <w:proofErr w:type="spellStart"/>
      <w:r w:rsidRPr="00A16162">
        <w:t>Ruoyu</w:t>
      </w:r>
      <w:proofErr w:type="spellEnd"/>
      <w:r w:rsidRPr="00A16162">
        <w:t xml:space="preserve"> Mao</w:t>
      </w:r>
      <w:r w:rsidRPr="00F200A1">
        <w:rPr>
          <w:vertAlign w:val="superscript"/>
        </w:rPr>
        <w:t>1,2</w:t>
      </w:r>
      <w:r w:rsidRPr="00A16162">
        <w:t xml:space="preserve">, </w:t>
      </w:r>
      <w:proofErr w:type="spellStart"/>
      <w:r w:rsidRPr="00A16162">
        <w:t>Ya</w:t>
      </w:r>
      <w:proofErr w:type="spellEnd"/>
      <w:r w:rsidRPr="00A16162">
        <w:t xml:space="preserve"> </w:t>
      </w:r>
      <w:r>
        <w:t>H</w:t>
      </w:r>
      <w:r w:rsidRPr="00F200A1">
        <w:t>ao</w:t>
      </w:r>
      <w:r w:rsidRPr="00F200A1">
        <w:rPr>
          <w:vertAlign w:val="superscript"/>
        </w:rPr>
        <w:t>1,2</w:t>
      </w:r>
      <w:r w:rsidRPr="00F200A1">
        <w:t>, Na Yang</w:t>
      </w:r>
      <w:r w:rsidRPr="00F200A1">
        <w:rPr>
          <w:vertAlign w:val="superscript"/>
        </w:rPr>
        <w:t>1,2</w:t>
      </w:r>
      <w:r w:rsidRPr="00F200A1">
        <w:t xml:space="preserve">, </w:t>
      </w:r>
      <w:proofErr w:type="spellStart"/>
      <w:r w:rsidRPr="00F200A1">
        <w:t>Xiumin</w:t>
      </w:r>
      <w:proofErr w:type="spellEnd"/>
      <w:r w:rsidRPr="00F200A1">
        <w:t xml:space="preserve"> Wang</w:t>
      </w:r>
      <w:r w:rsidRPr="00F200A1">
        <w:rPr>
          <w:vertAlign w:val="superscript"/>
        </w:rPr>
        <w:t>1,2</w:t>
      </w:r>
      <w:r w:rsidRPr="00F200A1">
        <w:t>, Jianhua Wang</w:t>
      </w:r>
      <w:r w:rsidRPr="00F200A1">
        <w:rPr>
          <w:vertAlign w:val="superscript"/>
        </w:rPr>
        <w:t>1,2</w:t>
      </w:r>
      <w:r w:rsidRPr="00F200A1">
        <w:t xml:space="preserve">  </w:t>
      </w:r>
    </w:p>
    <w:p w:rsidR="00A16162" w:rsidRPr="00F200A1" w:rsidRDefault="00A16162" w:rsidP="00A16162">
      <w:r w:rsidRPr="00F200A1">
        <w:t>1 Key Laboratory of Feed Biotechnology, Ministry of Agriculture and Rural Affairs, Beijing 100081, People’s Republic of China</w:t>
      </w:r>
      <w:r w:rsidRPr="00F200A1">
        <w:t xml:space="preserve">   </w:t>
      </w:r>
      <w:bookmarkStart w:id="0" w:name="_GoBack"/>
      <w:bookmarkEnd w:id="0"/>
    </w:p>
    <w:p w:rsidR="00A16162" w:rsidRPr="00F200A1" w:rsidRDefault="00A16162" w:rsidP="00F200A1">
      <w:r w:rsidRPr="00F200A1">
        <w:t>2 Gene Engineering Laboratory, Feed Research Institute, Chinese Academy of Agricultural Sciences, Beijing</w:t>
      </w:r>
      <w:r w:rsidRPr="00F200A1">
        <w:t xml:space="preserve">                                                                                                            </w:t>
      </w:r>
    </w:p>
    <w:p w:rsidR="00A16162" w:rsidRPr="00F200A1" w:rsidRDefault="00A16162" w:rsidP="00A16162">
      <w:pPr>
        <w:pStyle w:val="a3"/>
        <w:spacing w:before="73" w:line="198" w:lineRule="exact"/>
        <w:ind w:left="100" w:right="5987"/>
        <w:rPr>
          <w:sz w:val="22"/>
          <w:szCs w:val="22"/>
        </w:rPr>
      </w:pPr>
      <w:r w:rsidRPr="00F200A1">
        <w:rPr>
          <w:sz w:val="22"/>
          <w:szCs w:val="22"/>
        </w:rPr>
        <w:t>100081, People’s Republic of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D9556B">
      <w:pPr>
        <w:pStyle w:val="a3"/>
        <w:spacing w:before="90" w:line="280" w:lineRule="auto"/>
        <w:ind w:left="100"/>
        <w:jc w:val="both"/>
      </w:pPr>
      <w:r w:rsidRPr="00D9556B">
        <w:t>Gram-negative bacteria are the most common cause of sepsis and lipopolysaccharide (LPS) is a major inducer of sepsis. LBP14, a core domain (residues 86-99) of LPS-binding protein, has strong ability to neutralize LPS. Lfcin7 (L7) is a bovine lactoferricin (</w:t>
      </w:r>
      <w:proofErr w:type="spellStart"/>
      <w:r w:rsidRPr="00D9556B">
        <w:t>LfcinB</w:t>
      </w:r>
      <w:proofErr w:type="spellEnd"/>
      <w:r w:rsidRPr="00D9556B">
        <w:t xml:space="preserve">) derivative, which possesses potent antibacterial activity. In this study, the cleavable chimeric peptide-R7 was generated by connecting LBP14 and L7 via a cleavable “RKRR” linker to improve antibacterial and anti-inflammatory activities. Compared to parent peptide L7, the antibacterial activity of R7 against </w:t>
      </w:r>
      <w:r w:rsidRPr="00F200A1">
        <w:rPr>
          <w:i/>
        </w:rPr>
        <w:t>Escherichia coli</w:t>
      </w:r>
      <w:r w:rsidRPr="00D9556B">
        <w:t xml:space="preserve">, Salmonella typhimurium and Staphylococcus aureus was increased by 2~4-fold; the ability of R7 to neutralize LPS was markedly higher than that of L7. R7 had low hemolysis to mouse red blood cells but some toxicity towards RAW264.7 cells. R7 could be cleaved by </w:t>
      </w:r>
      <w:proofErr w:type="spellStart"/>
      <w:r w:rsidRPr="00D9556B">
        <w:t>furin</w:t>
      </w:r>
      <w:proofErr w:type="spellEnd"/>
      <w:r w:rsidRPr="00D9556B">
        <w:t xml:space="preserve"> in vitro in a time-dependent manner, and could release L7 and LBP14 in serum. In vivo, after prevention with R7, the survival rate of the mice challenged with multidrug-resistant (MDR) </w:t>
      </w:r>
      <w:r w:rsidRPr="00F200A1">
        <w:rPr>
          <w:i/>
        </w:rPr>
        <w:t xml:space="preserve">E. coli </w:t>
      </w:r>
      <w:r w:rsidRPr="00D9556B">
        <w:t>or LPS was 100%, higher than that of L7 (60% and 40%). R7 significantly inhibited inflammatory response by down-regulating tumor necrosis factor-</w:t>
      </w:r>
      <w:r w:rsidRPr="00D9556B">
        <w:rPr>
          <w:rFonts w:ascii="Calibri" w:hAnsi="Calibri" w:cs="Calibri"/>
        </w:rPr>
        <w:t>α</w:t>
      </w:r>
      <w:r w:rsidRPr="00D9556B">
        <w:t xml:space="preserve"> (TNF-</w:t>
      </w:r>
      <w:r w:rsidRPr="00D9556B">
        <w:rPr>
          <w:rFonts w:ascii="Calibri" w:hAnsi="Calibri" w:cs="Calibri"/>
        </w:rPr>
        <w:t>α</w:t>
      </w:r>
      <w:r w:rsidRPr="00D9556B">
        <w:t>), interleukin-6 (IL-6), and interleukin-1</w:t>
      </w:r>
      <w:r w:rsidRPr="00D9556B">
        <w:rPr>
          <w:rFonts w:ascii="Calibri" w:hAnsi="Calibri" w:cs="Calibri"/>
        </w:rPr>
        <w:t>β</w:t>
      </w:r>
      <w:r w:rsidRPr="00D9556B">
        <w:t xml:space="preserve"> (IL-1</w:t>
      </w:r>
      <w:r w:rsidRPr="00D9556B">
        <w:rPr>
          <w:rFonts w:ascii="Calibri" w:hAnsi="Calibri" w:cs="Calibri"/>
        </w:rPr>
        <w:t>β</w:t>
      </w:r>
      <w:r w:rsidRPr="00D9556B">
        <w:t>) levels and by up-regulating interleukin-10 (IL-10) and intestinal alkaline phosphatase (IAP) levels. It suggests that R7 may be promising dual-function candidates as novel antibacterial and anti-endotoxin agents to prevent bacterial sepsis.</w:t>
      </w:r>
    </w:p>
    <w:p w:rsidR="00AE3E37" w:rsidRDefault="00442572">
      <w:pPr>
        <w:pStyle w:val="3"/>
        <w:spacing w:before="74"/>
      </w:pPr>
      <w:r>
        <w:drawing>
          <wp:anchor distT="0" distB="0" distL="114300" distR="114300" simplePos="0" relativeHeight="251665408" behindDoc="0" locked="0" layoutInCell="1" allowOverlap="1" wp14:anchorId="5F5A7DAE" wp14:editId="2D9471C6">
            <wp:simplePos x="0" y="0"/>
            <wp:positionH relativeFrom="margin">
              <wp:posOffset>211210</wp:posOffset>
            </wp:positionH>
            <wp:positionV relativeFrom="paragraph">
              <wp:posOffset>1656715</wp:posOffset>
            </wp:positionV>
            <wp:extent cx="552450" cy="84455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691"/>
                    <a:stretch/>
                  </pic:blipFill>
                  <pic:spPr bwMode="auto">
                    <a:xfrm>
                      <a:off x="0" y="0"/>
                      <a:ext cx="552450" cy="844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710C">
        <w:rPr>
          <w:b w:val="0"/>
        </w:rPr>
        <w:br w:type="column"/>
      </w:r>
      <w:r w:rsidR="00A9710C">
        <w:rPr>
          <w:color w:val="BF5A14"/>
        </w:rPr>
        <w:t>Image</w:t>
      </w:r>
    </w:p>
    <w:p w:rsidR="005B2B49" w:rsidRDefault="005B2B49">
      <w:pPr>
        <w:pStyle w:val="a3"/>
        <w:spacing w:before="2"/>
        <w:rPr>
          <w:rFonts w:ascii="Arial"/>
          <w:b/>
          <w:sz w:val="16"/>
        </w:rPr>
      </w:pPr>
      <w:r>
        <w:rPr>
          <w:noProof/>
        </w:rPr>
        <w:drawing>
          <wp:inline distT="0" distB="0" distL="0" distR="0">
            <wp:extent cx="2967990" cy="1604010"/>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7990" cy="1604010"/>
                    </a:xfrm>
                    <a:prstGeom prst="rect">
                      <a:avLst/>
                    </a:prstGeom>
                    <a:noFill/>
                    <a:ln>
                      <a:noFill/>
                    </a:ln>
                  </pic:spPr>
                </pic:pic>
              </a:graphicData>
            </a:graphic>
          </wp:inline>
        </w:drawing>
      </w:r>
    </w:p>
    <w:p w:rsidR="00AE3E37" w:rsidRPr="00F200A1" w:rsidRDefault="005B2B49">
      <w:pPr>
        <w:pStyle w:val="a3"/>
        <w:spacing w:before="2"/>
        <w:rPr>
          <w:rFonts w:ascii="Arial" w:eastAsiaTheme="minorEastAsia" w:hint="eastAsia"/>
          <w:b/>
          <w:sz w:val="16"/>
          <w:lang w:eastAsia="zh-CN"/>
        </w:rPr>
      </w:pPr>
      <w:r>
        <w:rPr>
          <w:rFonts w:ascii="Arial" w:eastAsiaTheme="minorEastAsia" w:hint="eastAsia"/>
          <w:b/>
          <w:sz w:val="16"/>
          <w:lang w:eastAsia="zh-CN"/>
        </w:rPr>
        <w:t>F</w:t>
      </w:r>
      <w:r>
        <w:rPr>
          <w:rFonts w:ascii="Arial" w:eastAsiaTheme="minorEastAsia"/>
          <w:b/>
          <w:sz w:val="16"/>
          <w:lang w:eastAsia="zh-CN"/>
        </w:rPr>
        <w:t xml:space="preserve">igure 1: </w:t>
      </w:r>
      <w:r w:rsidR="003E15AE">
        <w:rPr>
          <w:rFonts w:ascii="Arial" w:eastAsiaTheme="minorEastAsia"/>
          <w:b/>
          <w:sz w:val="16"/>
          <w:lang w:eastAsia="zh-CN"/>
        </w:rPr>
        <w:t xml:space="preserve">Design of a chimeric peptide R7 with the killing domain (L7) and targeting one (LBP14). </w:t>
      </w:r>
    </w:p>
    <w:p w:rsidR="005973B9" w:rsidRDefault="005973B9" w:rsidP="005973B9">
      <w:pPr>
        <w:spacing w:line="204" w:lineRule="exact"/>
        <w:rPr>
          <w:rFonts w:ascii="Arial"/>
          <w:b/>
          <w:sz w:val="20"/>
        </w:rPr>
      </w:pPr>
      <w:r>
        <w:rPr>
          <w:rFonts w:ascii="Arial"/>
          <w:b/>
          <w:color w:val="BF5A14"/>
          <w:sz w:val="20"/>
        </w:rPr>
        <w:br/>
        <w:t>Recent Publications (minimum 5)</w:t>
      </w:r>
    </w:p>
    <w:p w:rsidR="00ED42C7" w:rsidRPr="00ED42C7" w:rsidRDefault="00ED42C7" w:rsidP="00ED42C7">
      <w:pPr>
        <w:pStyle w:val="a5"/>
        <w:numPr>
          <w:ilvl w:val="0"/>
          <w:numId w:val="3"/>
        </w:numPr>
        <w:tabs>
          <w:tab w:val="left" w:pos="384"/>
        </w:tabs>
        <w:spacing w:before="103" w:line="216" w:lineRule="exact"/>
        <w:ind w:right="138"/>
        <w:rPr>
          <w:sz w:val="18"/>
        </w:rPr>
      </w:pPr>
      <w:r w:rsidRPr="00ED42C7">
        <w:rPr>
          <w:sz w:val="18"/>
        </w:rPr>
        <w:t xml:space="preserve">Li T, Wang ZL, Han HH, Teng D, Mao RY, Hao Y, Yang N, Wang XM, Wang JH. </w:t>
      </w:r>
      <w:r>
        <w:rPr>
          <w:sz w:val="18"/>
        </w:rPr>
        <w:t xml:space="preserve">(2020) </w:t>
      </w:r>
      <w:r w:rsidRPr="00ED42C7">
        <w:rPr>
          <w:sz w:val="18"/>
        </w:rPr>
        <w:t>Dual antibacterial activities and biofilm eradication of a marine peptide-N6NH2 and its analogs against multidrug-resistant</w:t>
      </w:r>
      <w:r w:rsidRPr="00F200A1">
        <w:rPr>
          <w:i/>
          <w:sz w:val="18"/>
        </w:rPr>
        <w:t xml:space="preserve"> Aeromonas </w:t>
      </w:r>
      <w:proofErr w:type="spellStart"/>
      <w:r w:rsidRPr="00F200A1">
        <w:rPr>
          <w:i/>
          <w:sz w:val="18"/>
        </w:rPr>
        <w:t>veronii</w:t>
      </w:r>
      <w:proofErr w:type="spellEnd"/>
      <w:r w:rsidRPr="00ED42C7">
        <w:rPr>
          <w:sz w:val="18"/>
        </w:rPr>
        <w:t>. Int J Mol Sci, 21: 9637.</w:t>
      </w:r>
    </w:p>
    <w:p w:rsidR="00ED42C7" w:rsidRPr="00ED42C7" w:rsidRDefault="00ED42C7" w:rsidP="00ED42C7">
      <w:pPr>
        <w:pStyle w:val="a5"/>
        <w:numPr>
          <w:ilvl w:val="0"/>
          <w:numId w:val="3"/>
        </w:numPr>
        <w:tabs>
          <w:tab w:val="left" w:pos="384"/>
        </w:tabs>
        <w:spacing w:before="103" w:line="216" w:lineRule="exact"/>
        <w:ind w:right="138"/>
        <w:rPr>
          <w:sz w:val="18"/>
        </w:rPr>
      </w:pPr>
      <w:r w:rsidRPr="00ED42C7">
        <w:rPr>
          <w:sz w:val="18"/>
        </w:rPr>
        <w:t xml:space="preserve">Han HH, Li T, Wang ZL, Teng D, Mao RY, Hao Y, Yang N, Wang XM, Wang JH. </w:t>
      </w:r>
      <w:r>
        <w:rPr>
          <w:sz w:val="18"/>
        </w:rPr>
        <w:t xml:space="preserve">(2020) </w:t>
      </w:r>
      <w:r w:rsidRPr="00ED42C7">
        <w:rPr>
          <w:sz w:val="18"/>
        </w:rPr>
        <w:t xml:space="preserve">Improved stability and activity of a marine peptide-N6NH2 against </w:t>
      </w:r>
      <w:proofErr w:type="spellStart"/>
      <w:r w:rsidRPr="00F200A1">
        <w:rPr>
          <w:i/>
          <w:sz w:val="18"/>
        </w:rPr>
        <w:t>Edwardsiella</w:t>
      </w:r>
      <w:proofErr w:type="spellEnd"/>
      <w:r w:rsidRPr="00F200A1">
        <w:rPr>
          <w:i/>
          <w:sz w:val="18"/>
        </w:rPr>
        <w:t xml:space="preserve"> </w:t>
      </w:r>
      <w:proofErr w:type="spellStart"/>
      <w:r w:rsidRPr="00F200A1">
        <w:rPr>
          <w:i/>
          <w:sz w:val="18"/>
        </w:rPr>
        <w:t>tarda</w:t>
      </w:r>
      <w:proofErr w:type="spellEnd"/>
      <w:r w:rsidRPr="00ED42C7">
        <w:rPr>
          <w:sz w:val="18"/>
        </w:rPr>
        <w:t xml:space="preserve"> and its preliminary application in fish. Mar Drugs, 18: 650.</w:t>
      </w:r>
    </w:p>
    <w:p w:rsidR="00ED42C7" w:rsidRPr="00ED42C7" w:rsidRDefault="00ED42C7" w:rsidP="00ED42C7">
      <w:pPr>
        <w:pStyle w:val="a5"/>
        <w:numPr>
          <w:ilvl w:val="0"/>
          <w:numId w:val="3"/>
        </w:numPr>
        <w:tabs>
          <w:tab w:val="left" w:pos="384"/>
        </w:tabs>
        <w:spacing w:before="103" w:line="216" w:lineRule="exact"/>
        <w:ind w:right="138"/>
        <w:rPr>
          <w:sz w:val="18"/>
        </w:rPr>
      </w:pPr>
      <w:r w:rsidRPr="00ED42C7">
        <w:rPr>
          <w:sz w:val="18"/>
        </w:rPr>
        <w:t xml:space="preserve">Wang ZL, Liu XH, Teng D, Mao RY, Hao Y, Yang N, Wang X, Li ZZ, Wang XM, Wang JH. </w:t>
      </w:r>
      <w:r>
        <w:rPr>
          <w:sz w:val="18"/>
        </w:rPr>
        <w:t xml:space="preserve">(2020) </w:t>
      </w:r>
      <w:r w:rsidRPr="00ED42C7">
        <w:rPr>
          <w:sz w:val="18"/>
        </w:rPr>
        <w:t xml:space="preserve">Clearing the “battlefield”-lipopolysaccharide after killing multiple-drug resistant </w:t>
      </w:r>
      <w:r w:rsidRPr="00F200A1">
        <w:rPr>
          <w:i/>
          <w:sz w:val="18"/>
        </w:rPr>
        <w:t>Escherichia coli</w:t>
      </w:r>
      <w:r w:rsidRPr="00ED42C7">
        <w:rPr>
          <w:sz w:val="18"/>
        </w:rPr>
        <w:t xml:space="preserve"> by “smart” chimeric peptides-A6 and G6. </w:t>
      </w:r>
      <w:proofErr w:type="spellStart"/>
      <w:r w:rsidRPr="00ED42C7">
        <w:rPr>
          <w:sz w:val="18"/>
        </w:rPr>
        <w:t>Commun</w:t>
      </w:r>
      <w:proofErr w:type="spellEnd"/>
      <w:r w:rsidRPr="00ED42C7">
        <w:rPr>
          <w:sz w:val="18"/>
        </w:rPr>
        <w:t xml:space="preserve"> Biol, 3: 41.  </w:t>
      </w:r>
    </w:p>
    <w:p w:rsidR="00ED42C7" w:rsidRPr="00ED42C7" w:rsidRDefault="00ED42C7" w:rsidP="00ED42C7">
      <w:pPr>
        <w:pStyle w:val="a5"/>
        <w:numPr>
          <w:ilvl w:val="0"/>
          <w:numId w:val="3"/>
        </w:numPr>
        <w:tabs>
          <w:tab w:val="left" w:pos="384"/>
        </w:tabs>
        <w:spacing w:before="103" w:line="216" w:lineRule="exact"/>
        <w:ind w:right="138"/>
        <w:rPr>
          <w:sz w:val="18"/>
        </w:rPr>
      </w:pPr>
      <w:r w:rsidRPr="00ED42C7">
        <w:rPr>
          <w:sz w:val="18"/>
        </w:rPr>
        <w:t xml:space="preserve">Li T, Teng D, Mao RY, Hao Y, Wang XM, Wang JH. </w:t>
      </w:r>
      <w:r w:rsidR="0026191C">
        <w:rPr>
          <w:sz w:val="18"/>
        </w:rPr>
        <w:t xml:space="preserve">(2019) </w:t>
      </w:r>
      <w:r w:rsidRPr="00ED42C7">
        <w:rPr>
          <w:sz w:val="18"/>
        </w:rPr>
        <w:t xml:space="preserve">Recent progress in preparation and agricultural application of microcapsules. J Biomed Mater Res Part A, 107: 2371-2385. </w:t>
      </w:r>
    </w:p>
    <w:p w:rsidR="00ED42C7" w:rsidRPr="00ED42C7" w:rsidRDefault="00ED42C7" w:rsidP="00ED42C7">
      <w:pPr>
        <w:pStyle w:val="a5"/>
        <w:numPr>
          <w:ilvl w:val="0"/>
          <w:numId w:val="3"/>
        </w:numPr>
        <w:tabs>
          <w:tab w:val="left" w:pos="384"/>
        </w:tabs>
        <w:spacing w:before="103" w:line="216" w:lineRule="exact"/>
        <w:ind w:right="138"/>
        <w:rPr>
          <w:sz w:val="18"/>
        </w:rPr>
      </w:pPr>
      <w:r w:rsidRPr="00ED42C7">
        <w:rPr>
          <w:sz w:val="18"/>
        </w:rPr>
        <w:t xml:space="preserve">Li ZZ, Teng D, Mao RY, Hao Y, Wang X, Wang XM, Wang JH. </w:t>
      </w:r>
      <w:r w:rsidR="00A16162">
        <w:rPr>
          <w:sz w:val="18"/>
        </w:rPr>
        <w:t xml:space="preserve">(2018) </w:t>
      </w:r>
      <w:r w:rsidRPr="00ED42C7">
        <w:rPr>
          <w:sz w:val="18"/>
        </w:rPr>
        <w:t xml:space="preserve">Improved antibacterial activity of the marine peptide N6 against intracellular Salmonella Typhimurium by conjugating with the cell-penetrating peptide Tat11 via a cleavable linker. J Med Chem, 61: 7991-8000. </w:t>
      </w:r>
    </w:p>
    <w:p w:rsidR="005973B9" w:rsidRDefault="005973B9" w:rsidP="005973B9">
      <w:pPr>
        <w:pStyle w:val="a3"/>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90F06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3E15AE" w:rsidP="003E15AE">
      <w:pPr>
        <w:spacing w:before="41" w:line="154" w:lineRule="exact"/>
        <w:ind w:left="213" w:right="231"/>
        <w:jc w:val="both"/>
        <w:rPr>
          <w:rFonts w:ascii="Arial"/>
          <w:sz w:val="14"/>
        </w:rPr>
      </w:pPr>
      <w:proofErr w:type="spellStart"/>
      <w:r>
        <w:rPr>
          <w:rFonts w:ascii="Arial"/>
          <w:sz w:val="14"/>
        </w:rPr>
        <w:t>Xiumin</w:t>
      </w:r>
      <w:proofErr w:type="spellEnd"/>
      <w:r>
        <w:rPr>
          <w:rFonts w:ascii="Arial"/>
          <w:sz w:val="14"/>
        </w:rPr>
        <w:t xml:space="preserve"> Wang</w:t>
      </w:r>
      <w:r w:rsidR="00A9710C">
        <w:rPr>
          <w:rFonts w:ascii="Arial"/>
          <w:sz w:val="14"/>
        </w:rPr>
        <w:t xml:space="preserve"> has </w:t>
      </w:r>
      <w:r w:rsidR="00442572" w:rsidRPr="00442572">
        <w:rPr>
          <w:rFonts w:ascii="Arial"/>
          <w:sz w:val="14"/>
        </w:rPr>
        <w:t xml:space="preserve">been focusing on this special narrow field of AMP for </w:t>
      </w:r>
      <w:r w:rsidR="00442572">
        <w:rPr>
          <w:rFonts w:ascii="Arial"/>
          <w:sz w:val="14"/>
        </w:rPr>
        <w:t>many</w:t>
      </w:r>
      <w:r w:rsidR="00442572" w:rsidRPr="00442572">
        <w:rPr>
          <w:rFonts w:ascii="Arial"/>
          <w:sz w:val="14"/>
        </w:rPr>
        <w:t xml:space="preserve"> years</w:t>
      </w:r>
      <w:r>
        <w:rPr>
          <w:rFonts w:ascii="Arial"/>
          <w:sz w:val="14"/>
        </w:rPr>
        <w:t xml:space="preserve">, </w:t>
      </w:r>
      <w:r w:rsidR="00442572">
        <w:rPr>
          <w:rFonts w:ascii="Arial"/>
          <w:sz w:val="14"/>
        </w:rPr>
        <w:t>especially</w:t>
      </w:r>
      <w:r>
        <w:rPr>
          <w:rFonts w:ascii="Arial"/>
          <w:sz w:val="14"/>
        </w:rPr>
        <w:t xml:space="preserve"> design of different antibacterial agents, antibacterial activity, and mode of actions. </w:t>
      </w:r>
      <w:r w:rsidR="00A9710C">
        <w:rPr>
          <w:rFonts w:ascii="Arial"/>
          <w:sz w:val="14"/>
        </w:rPr>
        <w:t xml:space="preserve">Email: </w:t>
      </w:r>
      <w:hyperlink r:id="rId11" w:history="1">
        <w:r w:rsidR="00ED42C7" w:rsidRPr="00ED42C7">
          <w:rPr>
            <w:rStyle w:val="ac"/>
            <w:rFonts w:ascii="Arial"/>
            <w:sz w:val="14"/>
          </w:rPr>
          <w:t>wangxiumin@caas.cn</w:t>
        </w:r>
      </w:hyperlink>
    </w:p>
    <w:p w:rsidR="00AE3E37" w:rsidRDefault="00292ED9">
      <w:pPr>
        <w:pStyle w:val="a3"/>
        <w:spacing w:before="2"/>
        <w:rPr>
          <w:rFonts w:ascii="Arial"/>
          <w:sz w:val="19"/>
        </w:rPr>
      </w:pPr>
      <w:r>
        <w:rPr>
          <w:lang w:val="en-IN" w:eastAsia="en-IN"/>
        </w:rPr>
        <mc:AlternateContent>
          <mc:Choice Requires="wps">
            <w:drawing>
              <wp:anchor distT="0" distB="0" distL="0" distR="0" simplePos="0" relativeHeight="25165312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A4D09" id="Line 3" o:spid="_x0000_s1026" style="position:absolute;left:0;text-align:lef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074E" w:rsidRDefault="0002074E">
      <w:r>
        <w:separator/>
      </w:r>
    </w:p>
  </w:endnote>
  <w:endnote w:type="continuationSeparator" w:id="0">
    <w:p w:rsidR="0002074E" w:rsidRDefault="0002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074E" w:rsidRDefault="0002074E">
      <w:r>
        <w:separator/>
      </w:r>
    </w:p>
  </w:footnote>
  <w:footnote w:type="continuationSeparator" w:id="0">
    <w:p w:rsidR="0002074E" w:rsidRDefault="0002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074E"/>
    <w:rsid w:val="000E2911"/>
    <w:rsid w:val="001263DF"/>
    <w:rsid w:val="002455EC"/>
    <w:rsid w:val="0026191C"/>
    <w:rsid w:val="00292ED9"/>
    <w:rsid w:val="003E15AE"/>
    <w:rsid w:val="00404E5B"/>
    <w:rsid w:val="00414F7B"/>
    <w:rsid w:val="004355DC"/>
    <w:rsid w:val="00442572"/>
    <w:rsid w:val="004749B4"/>
    <w:rsid w:val="00494130"/>
    <w:rsid w:val="004F3523"/>
    <w:rsid w:val="005973B9"/>
    <w:rsid w:val="005B2B49"/>
    <w:rsid w:val="005B3A56"/>
    <w:rsid w:val="006060CE"/>
    <w:rsid w:val="0063497F"/>
    <w:rsid w:val="00873DF0"/>
    <w:rsid w:val="008756E6"/>
    <w:rsid w:val="008A08B6"/>
    <w:rsid w:val="009B2D44"/>
    <w:rsid w:val="00A07E82"/>
    <w:rsid w:val="00A16162"/>
    <w:rsid w:val="00A9710C"/>
    <w:rsid w:val="00AE3E37"/>
    <w:rsid w:val="00B21A57"/>
    <w:rsid w:val="00C33602"/>
    <w:rsid w:val="00CD6F55"/>
    <w:rsid w:val="00D9556B"/>
    <w:rsid w:val="00DE3104"/>
    <w:rsid w:val="00E26B10"/>
    <w:rsid w:val="00ED42C7"/>
    <w:rsid w:val="00F200A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A1345"/>
  <w15:docId w15:val="{96A308DC-5FF0-4350-B017-082F6AA7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ED42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angxiumin@caas.cn" TargetMode="Externa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wangx</cp:lastModifiedBy>
  <cp:revision>7</cp:revision>
  <dcterms:created xsi:type="dcterms:W3CDTF">2016-12-06T11:19:00Z</dcterms:created>
  <dcterms:modified xsi:type="dcterms:W3CDTF">2021-02-09T08:51:00Z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