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546A0" w:rsidRPr="00DC7087" w:rsidRDefault="004546A0" w:rsidP="004546A0">
      <w:pPr>
        <w:spacing w:line="48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DC7087">
        <w:rPr>
          <w:rFonts w:ascii="Times New Roman" w:hAnsi="Times New Roman" w:cs="Times New Roman"/>
          <w:b/>
          <w:sz w:val="20"/>
          <w:szCs w:val="20"/>
        </w:rPr>
        <w:t xml:space="preserve">A cleavable chimeric peptide-R7: enhancing the dual-function of LPS neutralization and antibacterial properties against MDR </w:t>
      </w:r>
      <w:r w:rsidRPr="00DC7087">
        <w:rPr>
          <w:rFonts w:ascii="Times New Roman" w:hAnsi="Times New Roman" w:cs="Times New Roman"/>
          <w:b/>
          <w:i/>
          <w:sz w:val="20"/>
          <w:szCs w:val="20"/>
        </w:rPr>
        <w:t>E. coli</w:t>
      </w:r>
    </w:p>
    <w:p w:rsidR="004546A0" w:rsidRPr="00DC7087" w:rsidRDefault="004546A0" w:rsidP="004546A0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DC7087">
        <w:rPr>
          <w:rFonts w:ascii="Times New Roman" w:hAnsi="Times New Roman" w:cs="Times New Roman"/>
          <w:sz w:val="20"/>
          <w:szCs w:val="20"/>
        </w:rPr>
        <w:t>Zhenlong</w:t>
      </w:r>
      <w:proofErr w:type="spellEnd"/>
      <w:r w:rsidRPr="00DC7087">
        <w:rPr>
          <w:rFonts w:ascii="Times New Roman" w:hAnsi="Times New Roman" w:cs="Times New Roman"/>
          <w:sz w:val="20"/>
          <w:szCs w:val="20"/>
        </w:rPr>
        <w:t xml:space="preserve"> Wang</w:t>
      </w:r>
      <w:r w:rsidRPr="00DC7087">
        <w:rPr>
          <w:rFonts w:ascii="Times New Roman" w:hAnsi="Times New Roman" w:cs="Times New Roman"/>
          <w:sz w:val="20"/>
          <w:szCs w:val="20"/>
          <w:vertAlign w:val="superscript"/>
        </w:rPr>
        <w:t>1,2</w:t>
      </w:r>
      <w:r w:rsidRPr="00DC7087">
        <w:rPr>
          <w:rFonts w:ascii="Times New Roman" w:hAnsi="Times New Roman" w:cs="Times New Roman"/>
          <w:sz w:val="20"/>
          <w:szCs w:val="20"/>
        </w:rPr>
        <w:t>, Da Teng</w:t>
      </w:r>
      <w:r w:rsidRPr="00DC7087">
        <w:rPr>
          <w:rFonts w:ascii="Times New Roman" w:hAnsi="Times New Roman" w:cs="Times New Roman"/>
          <w:sz w:val="20"/>
          <w:szCs w:val="20"/>
          <w:vertAlign w:val="superscript"/>
        </w:rPr>
        <w:t>1,2</w:t>
      </w:r>
      <w:r w:rsidRPr="00DC7087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DC7087">
        <w:rPr>
          <w:rFonts w:ascii="Times New Roman" w:hAnsi="Times New Roman" w:cs="Times New Roman"/>
          <w:sz w:val="20"/>
          <w:szCs w:val="20"/>
        </w:rPr>
        <w:t>Ruoyu</w:t>
      </w:r>
      <w:proofErr w:type="spellEnd"/>
      <w:r w:rsidRPr="00DC7087">
        <w:rPr>
          <w:rFonts w:ascii="Times New Roman" w:hAnsi="Times New Roman" w:cs="Times New Roman"/>
          <w:sz w:val="20"/>
          <w:szCs w:val="20"/>
        </w:rPr>
        <w:t xml:space="preserve"> Mao</w:t>
      </w:r>
      <w:r w:rsidRPr="00DC7087">
        <w:rPr>
          <w:rFonts w:ascii="Times New Roman" w:hAnsi="Times New Roman" w:cs="Times New Roman"/>
          <w:sz w:val="20"/>
          <w:szCs w:val="20"/>
          <w:vertAlign w:val="superscript"/>
        </w:rPr>
        <w:t>1,2</w:t>
      </w:r>
      <w:r w:rsidRPr="00DC7087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DC7087">
        <w:rPr>
          <w:rFonts w:ascii="Times New Roman" w:hAnsi="Times New Roman" w:cs="Times New Roman"/>
          <w:sz w:val="20"/>
          <w:szCs w:val="20"/>
        </w:rPr>
        <w:t>Ya</w:t>
      </w:r>
      <w:proofErr w:type="spellEnd"/>
      <w:r w:rsidRPr="00DC7087">
        <w:rPr>
          <w:rFonts w:ascii="Times New Roman" w:hAnsi="Times New Roman" w:cs="Times New Roman"/>
          <w:sz w:val="20"/>
          <w:szCs w:val="20"/>
        </w:rPr>
        <w:t xml:space="preserve"> Hao</w:t>
      </w:r>
      <w:r w:rsidRPr="00DC7087">
        <w:rPr>
          <w:rFonts w:ascii="Times New Roman" w:hAnsi="Times New Roman" w:cs="Times New Roman"/>
          <w:sz w:val="20"/>
          <w:szCs w:val="20"/>
          <w:vertAlign w:val="superscript"/>
        </w:rPr>
        <w:t>1,2</w:t>
      </w:r>
      <w:r w:rsidRPr="00DC7087">
        <w:rPr>
          <w:rFonts w:ascii="Times New Roman" w:hAnsi="Times New Roman" w:cs="Times New Roman"/>
          <w:sz w:val="20"/>
          <w:szCs w:val="20"/>
        </w:rPr>
        <w:t>, Na Yang</w:t>
      </w:r>
      <w:r w:rsidRPr="00DC7087">
        <w:rPr>
          <w:rFonts w:ascii="Times New Roman" w:hAnsi="Times New Roman" w:cs="Times New Roman"/>
          <w:sz w:val="20"/>
          <w:szCs w:val="20"/>
          <w:vertAlign w:val="superscript"/>
        </w:rPr>
        <w:t>1,2</w:t>
      </w:r>
      <w:r w:rsidRPr="00DC7087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DC7087">
        <w:rPr>
          <w:rFonts w:ascii="Times New Roman" w:hAnsi="Times New Roman" w:cs="Times New Roman"/>
          <w:sz w:val="20"/>
          <w:szCs w:val="20"/>
        </w:rPr>
        <w:t>Xiumin</w:t>
      </w:r>
      <w:proofErr w:type="spellEnd"/>
      <w:r w:rsidRPr="00DC7087">
        <w:rPr>
          <w:rFonts w:ascii="Times New Roman" w:hAnsi="Times New Roman" w:cs="Times New Roman"/>
          <w:sz w:val="20"/>
          <w:szCs w:val="20"/>
        </w:rPr>
        <w:t xml:space="preserve"> Wang</w:t>
      </w:r>
      <w:r w:rsidRPr="00DC7087">
        <w:rPr>
          <w:rFonts w:ascii="Times New Roman" w:hAnsi="Times New Roman" w:cs="Times New Roman"/>
          <w:sz w:val="20"/>
          <w:szCs w:val="20"/>
          <w:vertAlign w:val="superscript"/>
        </w:rPr>
        <w:t>1,2</w:t>
      </w:r>
      <w:r w:rsidRPr="00DC7087">
        <w:rPr>
          <w:rFonts w:ascii="Times New Roman" w:hAnsi="Times New Roman" w:cs="Times New Roman"/>
          <w:sz w:val="20"/>
          <w:szCs w:val="20"/>
        </w:rPr>
        <w:t>, Jianhua Wang</w:t>
      </w:r>
      <w:r w:rsidRPr="00DC7087">
        <w:rPr>
          <w:rFonts w:ascii="Times New Roman" w:hAnsi="Times New Roman" w:cs="Times New Roman"/>
          <w:sz w:val="20"/>
          <w:szCs w:val="20"/>
          <w:vertAlign w:val="superscript"/>
        </w:rPr>
        <w:t>1,2</w:t>
      </w:r>
    </w:p>
    <w:p w:rsidR="004546A0" w:rsidRPr="00DC7087" w:rsidRDefault="004546A0" w:rsidP="004546A0">
      <w:pPr>
        <w:spacing w:line="480" w:lineRule="auto"/>
        <w:rPr>
          <w:rFonts w:ascii="Times New Roman" w:hAnsi="Times New Roman" w:cs="Times New Roman"/>
          <w:i/>
          <w:sz w:val="20"/>
          <w:szCs w:val="20"/>
        </w:rPr>
      </w:pPr>
      <w:r w:rsidRPr="00DC7087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DC7087">
        <w:rPr>
          <w:rFonts w:ascii="Times New Roman" w:hAnsi="Times New Roman" w:cs="Times New Roman"/>
          <w:sz w:val="20"/>
          <w:szCs w:val="20"/>
        </w:rPr>
        <w:t xml:space="preserve"> </w:t>
      </w:r>
      <w:r w:rsidRPr="00DC7087">
        <w:rPr>
          <w:rFonts w:ascii="Times New Roman" w:hAnsi="Times New Roman" w:cs="Times New Roman"/>
          <w:i/>
          <w:sz w:val="20"/>
          <w:szCs w:val="20"/>
        </w:rPr>
        <w:t>Key Laboratory of Feed Biotechnology, Ministry of Agriculture and Rural Affairs, Beijing 100081, People’s Republic of China</w:t>
      </w:r>
    </w:p>
    <w:p w:rsidR="004546A0" w:rsidRPr="00DC7087" w:rsidRDefault="004546A0" w:rsidP="004546A0">
      <w:pPr>
        <w:spacing w:line="480" w:lineRule="auto"/>
        <w:rPr>
          <w:rFonts w:ascii="Times New Roman" w:hAnsi="Times New Roman" w:cs="Times New Roman"/>
          <w:i/>
          <w:sz w:val="20"/>
          <w:szCs w:val="20"/>
        </w:rPr>
      </w:pPr>
      <w:r w:rsidRPr="00DC7087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DC7087">
        <w:rPr>
          <w:rFonts w:ascii="Times New Roman" w:hAnsi="Times New Roman" w:cs="Times New Roman"/>
          <w:sz w:val="20"/>
          <w:szCs w:val="20"/>
        </w:rPr>
        <w:t xml:space="preserve"> </w:t>
      </w:r>
      <w:r w:rsidRPr="00DC7087">
        <w:rPr>
          <w:rFonts w:ascii="Times New Roman" w:hAnsi="Times New Roman" w:cs="Times New Roman"/>
          <w:i/>
          <w:sz w:val="20"/>
          <w:szCs w:val="20"/>
        </w:rPr>
        <w:t>Gene Engineering Laboratory, Feed Research Institute, Chinese Academy of Agricultural Sciences, Beijing 100081, People’s Republic of China</w:t>
      </w:r>
    </w:p>
    <w:p w:rsidR="004546A0" w:rsidRPr="00DC7087" w:rsidRDefault="004546A0" w:rsidP="004546A0">
      <w:pPr>
        <w:spacing w:line="480" w:lineRule="auto"/>
        <w:jc w:val="left"/>
        <w:rPr>
          <w:rFonts w:ascii="Times New Roman" w:hAnsi="Times New Roman" w:cs="Times New Roman"/>
          <w:b/>
          <w:sz w:val="20"/>
          <w:szCs w:val="20"/>
        </w:rPr>
      </w:pPr>
      <w:r w:rsidRPr="00DC7087">
        <w:rPr>
          <w:rFonts w:ascii="Times New Roman" w:hAnsi="Times New Roman" w:cs="Times New Roman"/>
          <w:b/>
          <w:sz w:val="20"/>
          <w:szCs w:val="20"/>
        </w:rPr>
        <w:t>Abstract</w:t>
      </w:r>
    </w:p>
    <w:p w:rsidR="004546A0" w:rsidRPr="00DC7087" w:rsidRDefault="004546A0" w:rsidP="004546A0">
      <w:pPr>
        <w:spacing w:line="480" w:lineRule="auto"/>
        <w:ind w:rightChars="-48" w:right="-101" w:firstLineChars="100" w:firstLine="200"/>
        <w:rPr>
          <w:rFonts w:ascii="Times New Roman" w:hAnsi="Times New Roman" w:cs="Times New Roman"/>
          <w:sz w:val="20"/>
          <w:szCs w:val="20"/>
        </w:rPr>
      </w:pPr>
      <w:r w:rsidRPr="00DC7087">
        <w:rPr>
          <w:rFonts w:ascii="Times New Roman" w:hAnsi="Times New Roman" w:cs="Times New Roman"/>
          <w:sz w:val="20"/>
          <w:szCs w:val="20"/>
        </w:rPr>
        <w:t xml:space="preserve">Gram-negative bacteria are the most common cause of sepsis and lipopolysaccharide (LPS) is a major inducer of sepsis. </w:t>
      </w:r>
      <w:r w:rsidRPr="009E7A21">
        <w:rPr>
          <w:rFonts w:ascii="Times New Roman" w:hAnsi="Times New Roman" w:cs="Times New Roman"/>
          <w:sz w:val="20"/>
          <w:szCs w:val="20"/>
        </w:rPr>
        <w:t>LBP14, a core domain (residues 86-99) of LPS-binding protein, has strong ability to neutralize LPS. L</w:t>
      </w:r>
      <w:r w:rsidRPr="009E7A21">
        <w:rPr>
          <w:rFonts w:ascii="Times New Roman" w:hAnsi="Times New Roman" w:cs="Times New Roman" w:hint="eastAsia"/>
          <w:sz w:val="20"/>
          <w:szCs w:val="20"/>
        </w:rPr>
        <w:t>f</w:t>
      </w:r>
      <w:r w:rsidRPr="009E7A21">
        <w:rPr>
          <w:rFonts w:ascii="Times New Roman" w:hAnsi="Times New Roman" w:cs="Times New Roman"/>
          <w:sz w:val="20"/>
          <w:szCs w:val="20"/>
        </w:rPr>
        <w:t>cin7 (L7) is a</w:t>
      </w:r>
      <w:r w:rsidRPr="001C3D71">
        <w:rPr>
          <w:rStyle w:val="fontstyle01"/>
          <w:b w:val="0"/>
          <w:sz w:val="20"/>
          <w:szCs w:val="20"/>
        </w:rPr>
        <w:t xml:space="preserve"> bovine lactoferricin</w:t>
      </w:r>
      <w:r w:rsidRPr="001C3D71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1C3D71">
        <w:rPr>
          <w:rFonts w:ascii="Times New Roman" w:hAnsi="Times New Roman" w:cs="Times New Roman"/>
          <w:bCs/>
          <w:sz w:val="20"/>
          <w:szCs w:val="20"/>
        </w:rPr>
        <w:t>(</w:t>
      </w:r>
      <w:proofErr w:type="spellStart"/>
      <w:r w:rsidRPr="001C3D71">
        <w:rPr>
          <w:rFonts w:ascii="Times New Roman" w:hAnsi="Times New Roman" w:cs="Times New Roman"/>
          <w:sz w:val="20"/>
          <w:szCs w:val="20"/>
        </w:rPr>
        <w:t>LfcinB</w:t>
      </w:r>
      <w:proofErr w:type="spellEnd"/>
      <w:r w:rsidRPr="001C3D71">
        <w:rPr>
          <w:rFonts w:ascii="Times New Roman" w:hAnsi="Times New Roman" w:cs="Times New Roman"/>
          <w:sz w:val="20"/>
          <w:szCs w:val="20"/>
        </w:rPr>
        <w:t>)</w:t>
      </w:r>
      <w:r w:rsidRPr="001C3D71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1C3D71">
        <w:rPr>
          <w:rStyle w:val="fontstyle01"/>
          <w:b w:val="0"/>
          <w:sz w:val="20"/>
          <w:szCs w:val="20"/>
        </w:rPr>
        <w:t>derivative</w:t>
      </w:r>
      <w:r w:rsidRPr="001C3D71">
        <w:rPr>
          <w:rFonts w:ascii="Times New Roman" w:hAnsi="Times New Roman" w:cs="Times New Roman"/>
          <w:bCs/>
          <w:sz w:val="20"/>
          <w:szCs w:val="20"/>
        </w:rPr>
        <w:t>,</w:t>
      </w:r>
      <w:bookmarkStart w:id="0" w:name="OLE_LINK2"/>
      <w:r w:rsidRPr="001C3D71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1C3D71">
        <w:rPr>
          <w:rFonts w:ascii="Times New Roman" w:hAnsi="Times New Roman" w:cs="Times New Roman"/>
          <w:sz w:val="20"/>
          <w:szCs w:val="20"/>
        </w:rPr>
        <w:t>w</w:t>
      </w:r>
      <w:r w:rsidRPr="00DC7087">
        <w:rPr>
          <w:rFonts w:ascii="Times New Roman" w:hAnsi="Times New Roman" w:cs="Times New Roman"/>
          <w:sz w:val="20"/>
          <w:szCs w:val="20"/>
        </w:rPr>
        <w:t>hich possesses potent antibacterial activit</w:t>
      </w:r>
      <w:bookmarkStart w:id="1" w:name="_GoBack"/>
      <w:bookmarkEnd w:id="1"/>
      <w:r w:rsidRPr="00DC7087">
        <w:rPr>
          <w:rFonts w:ascii="Times New Roman" w:hAnsi="Times New Roman" w:cs="Times New Roman"/>
          <w:sz w:val="20"/>
          <w:szCs w:val="20"/>
        </w:rPr>
        <w:t>y. In this study, the cleavable chimeric peptide-R7 was generated by connecting LBP14 and L7</w:t>
      </w:r>
      <w:bookmarkEnd w:id="0"/>
      <w:r w:rsidRPr="00DC7087">
        <w:rPr>
          <w:rFonts w:ascii="Times New Roman" w:hAnsi="Times New Roman" w:cs="Times New Roman"/>
          <w:sz w:val="20"/>
          <w:szCs w:val="20"/>
        </w:rPr>
        <w:t xml:space="preserve"> via a cleavable “RKRR” linker to improve antibacterial and anti-inflammatory activities. Compared to parent peptide L7, the antibacterial activity of R7 against </w:t>
      </w:r>
      <w:r w:rsidRPr="00DC7087">
        <w:rPr>
          <w:rFonts w:ascii="Times New Roman" w:hAnsi="Times New Roman" w:cs="Times New Roman"/>
          <w:i/>
          <w:sz w:val="20"/>
          <w:szCs w:val="20"/>
        </w:rPr>
        <w:t>Escherichia coli</w:t>
      </w:r>
      <w:r w:rsidRPr="00DC7087">
        <w:rPr>
          <w:rFonts w:ascii="Times New Roman" w:hAnsi="Times New Roman" w:cs="Times New Roman"/>
          <w:sz w:val="20"/>
          <w:szCs w:val="20"/>
        </w:rPr>
        <w:t xml:space="preserve">, </w:t>
      </w:r>
      <w:r w:rsidRPr="00DC7087">
        <w:rPr>
          <w:rFonts w:ascii="Times New Roman" w:hAnsi="Times New Roman" w:cs="Times New Roman"/>
          <w:i/>
          <w:sz w:val="20"/>
          <w:szCs w:val="20"/>
        </w:rPr>
        <w:t>Salmonella typhimurium</w:t>
      </w:r>
      <w:r w:rsidRPr="00DC7087">
        <w:rPr>
          <w:rFonts w:ascii="Times New Roman" w:hAnsi="Times New Roman" w:cs="Times New Roman"/>
          <w:sz w:val="20"/>
          <w:szCs w:val="20"/>
        </w:rPr>
        <w:t xml:space="preserve"> and </w:t>
      </w:r>
      <w:r w:rsidRPr="00DC7087">
        <w:rPr>
          <w:rFonts w:ascii="Times New Roman" w:hAnsi="Times New Roman" w:cs="Times New Roman"/>
          <w:bCs/>
          <w:i/>
          <w:iCs/>
          <w:sz w:val="20"/>
          <w:szCs w:val="20"/>
        </w:rPr>
        <w:t>Staphylococcus aureus</w:t>
      </w:r>
      <w:r w:rsidRPr="00DC7087">
        <w:rPr>
          <w:rFonts w:ascii="Times New Roman" w:hAnsi="Times New Roman" w:cs="Times New Roman"/>
          <w:sz w:val="20"/>
          <w:szCs w:val="20"/>
        </w:rPr>
        <w:t xml:space="preserve"> was increased by 2~4-fold; the ability of R7 to neutralize LPS was markedly higher than that of L7. R7 had </w:t>
      </w:r>
      <w:r w:rsidRPr="00DC7087">
        <w:rPr>
          <w:rFonts w:ascii="Times New Roman" w:hAnsi="Times New Roman" w:cs="Times New Roman" w:hint="eastAsia"/>
          <w:sz w:val="20"/>
          <w:szCs w:val="20"/>
        </w:rPr>
        <w:t>low</w:t>
      </w:r>
      <w:r w:rsidRPr="00DC7087">
        <w:rPr>
          <w:rFonts w:ascii="Times New Roman" w:hAnsi="Times New Roman" w:cs="Times New Roman"/>
          <w:sz w:val="20"/>
          <w:szCs w:val="20"/>
        </w:rPr>
        <w:t xml:space="preserve"> hemolysis to mouse red blood cells but some toxicity towards RAW264.7 cells. R7 could be cleaved by </w:t>
      </w:r>
      <w:proofErr w:type="spellStart"/>
      <w:r w:rsidRPr="00DC7087">
        <w:rPr>
          <w:rFonts w:ascii="Times New Roman" w:hAnsi="Times New Roman" w:cs="Times New Roman"/>
          <w:sz w:val="20"/>
          <w:szCs w:val="20"/>
        </w:rPr>
        <w:t>furin</w:t>
      </w:r>
      <w:proofErr w:type="spellEnd"/>
      <w:r w:rsidRPr="00DC7087">
        <w:rPr>
          <w:rFonts w:ascii="Times New Roman" w:hAnsi="Times New Roman" w:cs="Times New Roman"/>
          <w:sz w:val="20"/>
          <w:szCs w:val="20"/>
        </w:rPr>
        <w:t xml:space="preserve"> </w:t>
      </w:r>
      <w:r w:rsidRPr="00DC7087">
        <w:rPr>
          <w:rFonts w:ascii="Times New Roman" w:hAnsi="Times New Roman" w:cs="Times New Roman"/>
          <w:i/>
          <w:sz w:val="20"/>
          <w:szCs w:val="20"/>
        </w:rPr>
        <w:t>in vitro</w:t>
      </w:r>
      <w:r w:rsidRPr="00DC7087">
        <w:rPr>
          <w:rFonts w:ascii="Times New Roman" w:hAnsi="Times New Roman" w:cs="Times New Roman"/>
          <w:sz w:val="20"/>
          <w:szCs w:val="20"/>
        </w:rPr>
        <w:t xml:space="preserve"> in a time-dependent manner, and could </w:t>
      </w:r>
      <w:r w:rsidRPr="00DC7087">
        <w:rPr>
          <w:rFonts w:ascii="Times New Roman" w:hAnsi="Times New Roman" w:cs="Times New Roman" w:hint="eastAsia"/>
          <w:sz w:val="20"/>
          <w:szCs w:val="20"/>
        </w:rPr>
        <w:t>release</w:t>
      </w:r>
      <w:r w:rsidRPr="00DC7087">
        <w:rPr>
          <w:rFonts w:ascii="Times New Roman" w:hAnsi="Times New Roman" w:cs="Times New Roman"/>
          <w:sz w:val="20"/>
          <w:szCs w:val="20"/>
        </w:rPr>
        <w:t xml:space="preserve"> L7 </w:t>
      </w:r>
      <w:r w:rsidRPr="00DC7087">
        <w:rPr>
          <w:rFonts w:ascii="Times New Roman" w:hAnsi="Times New Roman" w:cs="Times New Roman" w:hint="eastAsia"/>
          <w:sz w:val="20"/>
          <w:szCs w:val="20"/>
        </w:rPr>
        <w:t>and</w:t>
      </w:r>
      <w:r w:rsidRPr="00DC7087">
        <w:rPr>
          <w:rFonts w:ascii="Times New Roman" w:hAnsi="Times New Roman" w:cs="Times New Roman"/>
          <w:sz w:val="20"/>
          <w:szCs w:val="20"/>
        </w:rPr>
        <w:t xml:space="preserve"> LBP14 </w:t>
      </w:r>
      <w:r w:rsidRPr="00DC7087">
        <w:rPr>
          <w:rFonts w:ascii="Times New Roman" w:hAnsi="Times New Roman" w:cs="Times New Roman" w:hint="eastAsia"/>
          <w:sz w:val="20"/>
          <w:szCs w:val="20"/>
        </w:rPr>
        <w:t>in</w:t>
      </w:r>
      <w:r w:rsidRPr="00DC7087">
        <w:rPr>
          <w:rFonts w:ascii="Times New Roman" w:hAnsi="Times New Roman" w:cs="Times New Roman"/>
          <w:sz w:val="20"/>
          <w:szCs w:val="20"/>
        </w:rPr>
        <w:t xml:space="preserve"> </w:t>
      </w:r>
      <w:r w:rsidRPr="00DC7087">
        <w:rPr>
          <w:rFonts w:ascii="Times New Roman" w:hAnsi="Times New Roman" w:cs="Times New Roman" w:hint="eastAsia"/>
          <w:sz w:val="20"/>
          <w:szCs w:val="20"/>
        </w:rPr>
        <w:t>serum</w:t>
      </w:r>
      <w:r w:rsidRPr="00DC7087">
        <w:rPr>
          <w:rFonts w:ascii="Times New Roman" w:hAnsi="Times New Roman" w:cs="Times New Roman"/>
          <w:sz w:val="20"/>
          <w:szCs w:val="20"/>
        </w:rPr>
        <w:t xml:space="preserve">. </w:t>
      </w:r>
      <w:r w:rsidRPr="00DC7087">
        <w:rPr>
          <w:rFonts w:ascii="Times New Roman" w:hAnsi="Times New Roman" w:cs="Times New Roman"/>
          <w:i/>
          <w:sz w:val="20"/>
          <w:szCs w:val="20"/>
        </w:rPr>
        <w:t>In vivo</w:t>
      </w:r>
      <w:r w:rsidRPr="00DC7087">
        <w:rPr>
          <w:rFonts w:ascii="Times New Roman" w:hAnsi="Times New Roman" w:cs="Times New Roman"/>
          <w:sz w:val="20"/>
          <w:szCs w:val="20"/>
        </w:rPr>
        <w:t xml:space="preserve">, after prevention with R7, the survival rate of the mice challenged with multidrug-resistant (MDR) </w:t>
      </w:r>
      <w:r w:rsidRPr="00DC7087">
        <w:rPr>
          <w:rFonts w:ascii="Times New Roman" w:hAnsi="Times New Roman" w:cs="Times New Roman"/>
          <w:i/>
          <w:sz w:val="20"/>
          <w:szCs w:val="20"/>
        </w:rPr>
        <w:t>E</w:t>
      </w:r>
      <w:r w:rsidRPr="00DC7087">
        <w:rPr>
          <w:rFonts w:ascii="Times New Roman" w:hAnsi="Times New Roman" w:cs="Times New Roman"/>
          <w:sz w:val="20"/>
          <w:szCs w:val="20"/>
        </w:rPr>
        <w:t xml:space="preserve">. </w:t>
      </w:r>
      <w:r w:rsidRPr="00DC7087">
        <w:rPr>
          <w:rFonts w:ascii="Times New Roman" w:hAnsi="Times New Roman" w:cs="Times New Roman"/>
          <w:i/>
          <w:sz w:val="20"/>
          <w:szCs w:val="20"/>
        </w:rPr>
        <w:t>coli</w:t>
      </w:r>
      <w:r w:rsidRPr="00DC7087">
        <w:rPr>
          <w:rFonts w:ascii="Times New Roman" w:hAnsi="Times New Roman" w:cs="Times New Roman"/>
          <w:sz w:val="20"/>
          <w:szCs w:val="20"/>
        </w:rPr>
        <w:t xml:space="preserve"> or LPS was 100%, higher than that of L7 (60% and 40%). R7 significantly inhibited </w:t>
      </w:r>
      <w:r w:rsidRPr="00DC7087">
        <w:rPr>
          <w:rFonts w:ascii="Times New Roman" w:eastAsia="宋体" w:hAnsi="Times New Roman" w:cs="Times New Roman"/>
          <w:color w:val="000000"/>
          <w:sz w:val="20"/>
          <w:szCs w:val="20"/>
        </w:rPr>
        <w:t>inflammatory response</w:t>
      </w:r>
      <w:r w:rsidRPr="00DC7087">
        <w:rPr>
          <w:rFonts w:ascii="Times New Roman" w:hAnsi="Times New Roman" w:cs="Times New Roman"/>
          <w:sz w:val="20"/>
          <w:szCs w:val="20"/>
        </w:rPr>
        <w:t xml:space="preserve"> by down-regulating</w:t>
      </w:r>
      <w:r w:rsidRPr="00DC7087">
        <w:rPr>
          <w:rFonts w:ascii="Times New Roman" w:eastAsia="宋体" w:hAnsi="Times New Roman" w:cs="Times New Roman"/>
          <w:color w:val="000000"/>
          <w:sz w:val="20"/>
          <w:szCs w:val="20"/>
        </w:rPr>
        <w:t xml:space="preserve"> tumor necrosis factor-α (TNF-α), interleukin-6 (IL-6), and interleukin-1β (IL-1β)</w:t>
      </w:r>
      <w:r w:rsidRPr="00DC7087">
        <w:rPr>
          <w:rFonts w:ascii="Times New Roman" w:hAnsi="Times New Roman" w:cs="Times New Roman"/>
          <w:sz w:val="20"/>
          <w:szCs w:val="20"/>
        </w:rPr>
        <w:t xml:space="preserve"> levels and by up-regulating </w:t>
      </w:r>
      <w:r w:rsidRPr="00DC7087">
        <w:rPr>
          <w:rFonts w:ascii="Times New Roman" w:eastAsia="宋体" w:hAnsi="Times New Roman" w:cs="Times New Roman"/>
          <w:color w:val="000000"/>
          <w:sz w:val="20"/>
          <w:szCs w:val="20"/>
        </w:rPr>
        <w:t>interleukin-10 (IL-10)</w:t>
      </w:r>
      <w:r w:rsidRPr="00DC7087">
        <w:rPr>
          <w:rFonts w:ascii="Times New Roman" w:hAnsi="Times New Roman" w:cs="Times New Roman"/>
          <w:sz w:val="20"/>
          <w:szCs w:val="20"/>
        </w:rPr>
        <w:t xml:space="preserve"> and </w:t>
      </w:r>
      <w:r w:rsidRPr="00DC7087">
        <w:rPr>
          <w:rFonts w:ascii="Times New Roman" w:hAnsi="Times New Roman" w:cs="Times New Roman"/>
          <w:bCs/>
          <w:iCs/>
          <w:color w:val="000000"/>
          <w:sz w:val="20"/>
          <w:szCs w:val="20"/>
        </w:rPr>
        <w:t xml:space="preserve">intestinal alkaline phosphatase </w:t>
      </w:r>
      <w:r w:rsidRPr="00DC7087">
        <w:rPr>
          <w:rFonts w:ascii="Times New Roman" w:hAnsi="Times New Roman" w:cs="Times New Roman"/>
          <w:color w:val="000000"/>
          <w:sz w:val="20"/>
          <w:szCs w:val="20"/>
        </w:rPr>
        <w:t>(IAP)</w:t>
      </w:r>
      <w:r w:rsidRPr="00DC7087">
        <w:rPr>
          <w:rFonts w:ascii="Times New Roman" w:hAnsi="Times New Roman" w:cs="Times New Roman"/>
          <w:sz w:val="20"/>
          <w:szCs w:val="20"/>
        </w:rPr>
        <w:t xml:space="preserve"> levels. It suggests that R7 may be promising dual-function candidates </w:t>
      </w:r>
      <w:r w:rsidRPr="00DC7087">
        <w:rPr>
          <w:rFonts w:ascii="Times New Roman" w:hAnsi="Times New Roman" w:cs="Times New Roman"/>
          <w:sz w:val="20"/>
          <w:szCs w:val="20"/>
        </w:rPr>
        <w:lastRenderedPageBreak/>
        <w:t xml:space="preserve">as novel antibacterial and anti-endotoxin agents to prevent bacterial sepsis. </w:t>
      </w:r>
    </w:p>
    <w:p w:rsidR="004546A0" w:rsidRPr="00DC7087" w:rsidRDefault="004546A0" w:rsidP="004546A0">
      <w:pPr>
        <w:spacing w:line="480" w:lineRule="auto"/>
        <w:ind w:rightChars="-67" w:right="-141"/>
        <w:rPr>
          <w:rFonts w:ascii="Times New Roman" w:hAnsi="Times New Roman" w:cs="Times New Roman"/>
          <w:sz w:val="20"/>
          <w:szCs w:val="20"/>
        </w:rPr>
      </w:pPr>
      <w:r w:rsidRPr="00DC7087">
        <w:rPr>
          <w:rFonts w:ascii="Times New Roman" w:hAnsi="Times New Roman" w:cs="Times New Roman"/>
          <w:b/>
          <w:sz w:val="20"/>
          <w:szCs w:val="20"/>
        </w:rPr>
        <w:t xml:space="preserve">Keywords: </w:t>
      </w:r>
      <w:r w:rsidRPr="00DC7087">
        <w:rPr>
          <w:rFonts w:ascii="Times New Roman" w:hAnsi="Times New Roman" w:cs="Times New Roman"/>
          <w:sz w:val="20"/>
          <w:szCs w:val="20"/>
        </w:rPr>
        <w:t xml:space="preserve">lipopolysaccharide, </w:t>
      </w:r>
      <w:r w:rsidRPr="00DC7087">
        <w:rPr>
          <w:rStyle w:val="fontstyle01"/>
          <w:b w:val="0"/>
          <w:sz w:val="20"/>
          <w:szCs w:val="20"/>
        </w:rPr>
        <w:t>lactoferricin</w:t>
      </w:r>
      <w:r w:rsidRPr="00DC7087">
        <w:rPr>
          <w:rFonts w:ascii="Times New Roman" w:hAnsi="Times New Roman" w:cs="Times New Roman"/>
          <w:b/>
          <w:sz w:val="20"/>
          <w:szCs w:val="20"/>
        </w:rPr>
        <w:t>, cle</w:t>
      </w:r>
      <w:r w:rsidRPr="00DC7087">
        <w:rPr>
          <w:rFonts w:ascii="Times New Roman" w:hAnsi="Times New Roman" w:cs="Times New Roman"/>
          <w:sz w:val="20"/>
          <w:szCs w:val="20"/>
        </w:rPr>
        <w:t>avable peptide, antibacterial activity, anti-inflammatory activity</w:t>
      </w:r>
    </w:p>
    <w:p w:rsidR="000A0721" w:rsidRPr="004546A0" w:rsidRDefault="000A0721" w:rsidP="004546A0">
      <w:pPr>
        <w:spacing w:line="480" w:lineRule="auto"/>
        <w:ind w:rightChars="-48" w:right="-101" w:firstLineChars="100" w:firstLine="210"/>
      </w:pPr>
    </w:p>
    <w:sectPr w:rsidR="000A0721" w:rsidRPr="004546A0" w:rsidSect="00C75A5B">
      <w:footerReference w:type="default" r:id="rId7"/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02C22" w:rsidRDefault="00F02C22" w:rsidP="00C75A5B">
      <w:r>
        <w:separator/>
      </w:r>
    </w:p>
  </w:endnote>
  <w:endnote w:type="continuationSeparator" w:id="0">
    <w:p w:rsidR="00F02C22" w:rsidRDefault="00F02C22" w:rsidP="00C75A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75368237"/>
      <w:docPartObj>
        <w:docPartGallery w:val="Page Numbers (Bottom of Page)"/>
        <w:docPartUnique/>
      </w:docPartObj>
    </w:sdtPr>
    <w:sdtEndPr/>
    <w:sdtContent>
      <w:p w:rsidR="00C75A5B" w:rsidRDefault="00C75A5B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:rsidR="00C75A5B" w:rsidRDefault="00C75A5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02C22" w:rsidRDefault="00F02C22" w:rsidP="00C75A5B">
      <w:r>
        <w:separator/>
      </w:r>
    </w:p>
  </w:footnote>
  <w:footnote w:type="continuationSeparator" w:id="0">
    <w:p w:rsidR="00F02C22" w:rsidRDefault="00F02C22" w:rsidP="00C75A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6A0"/>
    <w:rsid w:val="000A0721"/>
    <w:rsid w:val="001C3D71"/>
    <w:rsid w:val="004546A0"/>
    <w:rsid w:val="007B6FA4"/>
    <w:rsid w:val="009E7A21"/>
    <w:rsid w:val="00C75A5B"/>
    <w:rsid w:val="00DC7087"/>
    <w:rsid w:val="00F02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B58D7E0-EE3F-43C2-958F-D6E11762F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546A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qFormat/>
    <w:rsid w:val="004546A0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styleId="a3">
    <w:name w:val="line number"/>
    <w:basedOn w:val="a0"/>
    <w:uiPriority w:val="99"/>
    <w:semiHidden/>
    <w:unhideWhenUsed/>
    <w:rsid w:val="00C75A5B"/>
  </w:style>
  <w:style w:type="paragraph" w:styleId="a4">
    <w:name w:val="header"/>
    <w:basedOn w:val="a"/>
    <w:link w:val="a5"/>
    <w:uiPriority w:val="99"/>
    <w:unhideWhenUsed/>
    <w:rsid w:val="00C75A5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C75A5B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C75A5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C75A5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4E24CE-A957-412B-81F3-CA79F5F268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316</Words>
  <Characters>1806</Characters>
  <Application>Microsoft Office Word</Application>
  <DocSecurity>0</DocSecurity>
  <Lines>15</Lines>
  <Paragraphs>4</Paragraphs>
  <ScaleCrop>false</ScaleCrop>
  <Company/>
  <LinksUpToDate>false</LinksUpToDate>
  <CharactersWithSpaces>2118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wangx</dc:creator>
  <cp:keywords/>
  <dc:description/>
  <cp:lastModifiedBy>wangx</cp:lastModifiedBy>
  <cp:revision>5</cp:revision>
  <dcterms:created xsi:type="dcterms:W3CDTF">2021-02-09T08:10:00Z</dcterms:created>
  <dcterms:modified xsi:type="dcterms:W3CDTF">2021-02-09T08:16:00Z</dcterms:modified>
</cp:coreProperties>
</file>