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3D1786" w:rsidP="00494130">
      <w:pPr>
        <w:pStyle w:val="Heading1"/>
        <w:spacing w:before="170"/>
        <w:ind w:left="0"/>
        <w:rPr>
          <w:color w:val="337AB7"/>
        </w:rPr>
      </w:pPr>
      <w:r>
        <w:rPr>
          <w:color w:val="337AB7"/>
        </w:rPr>
        <w:t xml:space="preserve">Thermal cyclic life of glass-ceramic bonded thermal barrier coating system </w:t>
      </w:r>
    </w:p>
    <w:p w:rsidR="003D1786" w:rsidRDefault="003D1786" w:rsidP="00494130">
      <w:pPr>
        <w:pStyle w:val="Heading1"/>
        <w:spacing w:before="170"/>
        <w:ind w:left="0"/>
      </w:pPr>
    </w:p>
    <w:p w:rsidR="005973B9" w:rsidRDefault="003D1786" w:rsidP="005973B9">
      <w:pPr>
        <w:pStyle w:val="BodyText"/>
        <w:spacing w:before="73" w:line="198" w:lineRule="exact"/>
        <w:ind w:left="100" w:right="5987"/>
        <w:rPr>
          <w:rFonts w:ascii="Arial"/>
        </w:rPr>
      </w:pPr>
      <w:proofErr w:type="spellStart"/>
      <w:r>
        <w:rPr>
          <w:rFonts w:ascii="Arial"/>
        </w:rPr>
        <w:t>Sumana</w:t>
      </w:r>
      <w:proofErr w:type="spellEnd"/>
      <w:r>
        <w:rPr>
          <w:rFonts w:ascii="Arial"/>
        </w:rPr>
        <w:t xml:space="preserve"> </w:t>
      </w:r>
      <w:proofErr w:type="spellStart"/>
      <w:r>
        <w:rPr>
          <w:rFonts w:ascii="Arial"/>
        </w:rPr>
        <w:t>Ghosh</w:t>
      </w:r>
      <w:proofErr w:type="spellEnd"/>
      <w:r>
        <w:rPr>
          <w:rFonts w:ascii="Arial"/>
        </w:rPr>
        <w:t>,</w:t>
      </w:r>
      <w:r w:rsidR="005973B9">
        <w:rPr>
          <w:rFonts w:ascii="Arial"/>
        </w:rPr>
        <w:t xml:space="preserve"> PhD, </w:t>
      </w:r>
      <w:r>
        <w:rPr>
          <w:rFonts w:ascii="Arial"/>
        </w:rPr>
        <w:t>CSIR-CGCRI</w:t>
      </w:r>
      <w:r w:rsidR="005973B9">
        <w:rPr>
          <w:rFonts w:ascii="Arial"/>
        </w:rPr>
        <w:t xml:space="preserve">, </w:t>
      </w:r>
      <w:r>
        <w:rPr>
          <w:rFonts w:ascii="Arial"/>
        </w:rPr>
        <w:t>India</w:t>
      </w:r>
      <w:r w:rsidR="005973B9">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rPr>
          <w:color w:val="BF5A14"/>
        </w:rPr>
      </w:pPr>
      <w:r>
        <w:rPr>
          <w:color w:val="BF5A14"/>
        </w:rPr>
        <w:lastRenderedPageBreak/>
        <w:t>Abstract</w:t>
      </w:r>
      <w:r w:rsidR="00404E5B">
        <w:rPr>
          <w:color w:val="BF5A14"/>
        </w:rPr>
        <w:t xml:space="preserve"> (300 word limit)</w:t>
      </w:r>
    </w:p>
    <w:p w:rsidR="0019126E" w:rsidRDefault="0019126E">
      <w:pPr>
        <w:pStyle w:val="Heading3"/>
        <w:spacing w:before="147"/>
        <w:jc w:val="both"/>
      </w:pPr>
    </w:p>
    <w:p w:rsidR="00AE3E37" w:rsidRPr="00764DD7" w:rsidRDefault="00764DD7" w:rsidP="000E3D9C">
      <w:pPr>
        <w:spacing w:line="281" w:lineRule="auto"/>
        <w:jc w:val="both"/>
        <w:rPr>
          <w:color w:val="BF5A14"/>
          <w:sz w:val="18"/>
          <w:szCs w:val="18"/>
        </w:rPr>
      </w:pPr>
      <w:r w:rsidRPr="0052219E">
        <w:rPr>
          <w:sz w:val="18"/>
          <w:szCs w:val="18"/>
        </w:rPr>
        <w:t>Statement of the Problem:</w:t>
      </w:r>
      <w:r w:rsidRPr="0052219E">
        <w:t xml:space="preserve"> </w:t>
      </w:r>
      <w:r w:rsidR="003D00A0" w:rsidRPr="0052219E">
        <w:rPr>
          <w:rFonts w:cs="Times New Roman"/>
          <w:sz w:val="18"/>
          <w:szCs w:val="18"/>
        </w:rPr>
        <w:t>Gas turbines produce energy at very high temperatures. Usually, creep, spallation and delamination occur in the metallic parts of gas turbines leading to deterioration of the turbine blades resulting in decrease in gas turbine efficiency.</w:t>
      </w:r>
      <w:r w:rsidR="003D00A0" w:rsidRPr="0052219E">
        <w:rPr>
          <w:rFonts w:cs="Times New Roman"/>
          <w:sz w:val="24"/>
          <w:szCs w:val="24"/>
        </w:rPr>
        <w:t xml:space="preserve"> </w:t>
      </w:r>
      <w:r w:rsidR="003132BC" w:rsidRPr="0052219E">
        <w:rPr>
          <w:rFonts w:cs="Arial"/>
          <w:sz w:val="18"/>
          <w:szCs w:val="18"/>
        </w:rPr>
        <w:t>Thermal barrier coatings (TBCs) are provided to protect the metallic part</w:t>
      </w:r>
      <w:r w:rsidR="008E02D8" w:rsidRPr="0052219E">
        <w:rPr>
          <w:rFonts w:cs="Arial"/>
          <w:sz w:val="18"/>
          <w:szCs w:val="18"/>
        </w:rPr>
        <w:t>s</w:t>
      </w:r>
      <w:r w:rsidR="003132BC" w:rsidRPr="0052219E">
        <w:rPr>
          <w:rFonts w:cs="Arial"/>
          <w:sz w:val="18"/>
          <w:szCs w:val="18"/>
        </w:rPr>
        <w:t xml:space="preserve"> of gas turbines from the high inlet temperature. </w:t>
      </w:r>
      <w:r w:rsidR="004D21CF" w:rsidRPr="0052219E">
        <w:rPr>
          <w:rFonts w:cs="Times New Roman"/>
          <w:sz w:val="18"/>
          <w:szCs w:val="18"/>
        </w:rPr>
        <w:t>During thermal cycling at higher temperatures TBCs get damaged due to spallation on account of hot corrosion and oxidation of the metallic components of TBCs.</w:t>
      </w:r>
      <w:r w:rsidR="004D21CF" w:rsidRPr="0052219E">
        <w:rPr>
          <w:rFonts w:cs="Times New Roman"/>
          <w:sz w:val="24"/>
          <w:szCs w:val="24"/>
        </w:rPr>
        <w:t xml:space="preserve"> </w:t>
      </w:r>
      <w:r w:rsidR="003132BC" w:rsidRPr="0052219E">
        <w:rPr>
          <w:rFonts w:cs="Arial"/>
          <w:sz w:val="18"/>
          <w:szCs w:val="18"/>
        </w:rPr>
        <w:t>In the present study, two types of TBCs were</w:t>
      </w:r>
      <w:r w:rsidR="0019126E" w:rsidRPr="0052219E">
        <w:rPr>
          <w:rFonts w:cs="Arial"/>
          <w:sz w:val="18"/>
          <w:szCs w:val="18"/>
        </w:rPr>
        <w:t xml:space="preserve"> </w:t>
      </w:r>
      <w:r w:rsidR="003132BC" w:rsidRPr="0052219E">
        <w:rPr>
          <w:rFonts w:cs="Arial"/>
          <w:sz w:val="18"/>
          <w:szCs w:val="18"/>
        </w:rPr>
        <w:t>investigate</w:t>
      </w:r>
      <w:r w:rsidR="008B0813" w:rsidRPr="0052219E">
        <w:rPr>
          <w:rFonts w:cs="Arial"/>
          <w:sz w:val="18"/>
          <w:szCs w:val="18"/>
        </w:rPr>
        <w:t>d</w:t>
      </w:r>
      <w:r w:rsidR="003132BC" w:rsidRPr="0052219E">
        <w:rPr>
          <w:rFonts w:cs="Arial"/>
          <w:sz w:val="18"/>
          <w:szCs w:val="18"/>
        </w:rPr>
        <w:t xml:space="preserve"> </w:t>
      </w:r>
      <w:r w:rsidR="008B0813" w:rsidRPr="0052219E">
        <w:rPr>
          <w:rFonts w:cs="Arial"/>
          <w:sz w:val="18"/>
          <w:szCs w:val="18"/>
        </w:rPr>
        <w:t xml:space="preserve">for </w:t>
      </w:r>
      <w:r w:rsidR="003132BC" w:rsidRPr="0052219E">
        <w:rPr>
          <w:rFonts w:cs="Arial"/>
          <w:sz w:val="18"/>
          <w:szCs w:val="18"/>
        </w:rPr>
        <w:t>their thermal cyclic resistance</w:t>
      </w:r>
      <w:r w:rsidR="0019126E" w:rsidRPr="0052219E">
        <w:rPr>
          <w:rFonts w:cs="Arial"/>
          <w:sz w:val="18"/>
          <w:szCs w:val="18"/>
        </w:rPr>
        <w:t xml:space="preserve"> </w:t>
      </w:r>
      <w:r w:rsidR="003132BC" w:rsidRPr="0052219E">
        <w:rPr>
          <w:rFonts w:cs="Arial"/>
          <w:sz w:val="18"/>
          <w:szCs w:val="18"/>
        </w:rPr>
        <w:t>at 1000</w:t>
      </w:r>
      <w:r w:rsidR="003132BC" w:rsidRPr="0052219E">
        <w:rPr>
          <w:rFonts w:ascii="Cambria Math" w:hAnsi="Cambria Math" w:cs="Cambria Math"/>
          <w:sz w:val="18"/>
          <w:szCs w:val="18"/>
        </w:rPr>
        <w:t>℃</w:t>
      </w:r>
      <w:r w:rsidR="000C1F32" w:rsidRPr="0052219E">
        <w:rPr>
          <w:rFonts w:cs="Cambria Math"/>
          <w:sz w:val="18"/>
          <w:szCs w:val="18"/>
        </w:rPr>
        <w:t xml:space="preserve"> </w:t>
      </w:r>
      <w:r w:rsidR="003132BC" w:rsidRPr="0052219E">
        <w:rPr>
          <w:rFonts w:cs="Arial"/>
          <w:sz w:val="18"/>
          <w:szCs w:val="18"/>
        </w:rPr>
        <w:t>for 500 cycles: conventional TBC</w:t>
      </w:r>
      <w:r w:rsidR="0019126E" w:rsidRPr="0052219E">
        <w:rPr>
          <w:rFonts w:cs="Arial"/>
          <w:sz w:val="18"/>
          <w:szCs w:val="18"/>
        </w:rPr>
        <w:t xml:space="preserve"> </w:t>
      </w:r>
      <w:r w:rsidR="003132BC" w:rsidRPr="0052219E">
        <w:rPr>
          <w:rFonts w:cs="Arial"/>
          <w:sz w:val="18"/>
          <w:szCs w:val="18"/>
        </w:rPr>
        <w:t>having</w:t>
      </w:r>
      <w:r w:rsidR="0019126E" w:rsidRPr="0052219E">
        <w:rPr>
          <w:rFonts w:cs="Arial"/>
          <w:sz w:val="18"/>
          <w:szCs w:val="18"/>
        </w:rPr>
        <w:t xml:space="preserve"> </w:t>
      </w:r>
      <w:proofErr w:type="spellStart"/>
      <w:r w:rsidR="003132BC" w:rsidRPr="0052219E">
        <w:rPr>
          <w:rFonts w:cs="Arial"/>
          <w:sz w:val="18"/>
          <w:szCs w:val="18"/>
        </w:rPr>
        <w:t>NiCoCrAlY</w:t>
      </w:r>
      <w:proofErr w:type="spellEnd"/>
      <w:r w:rsidR="003132BC" w:rsidRPr="0052219E">
        <w:rPr>
          <w:rFonts w:cs="Arial"/>
          <w:sz w:val="18"/>
          <w:szCs w:val="18"/>
        </w:rPr>
        <w:t xml:space="preserve"> bond coat and 8-YSZ top coat and new TBC</w:t>
      </w:r>
      <w:r w:rsidR="0019126E" w:rsidRPr="0052219E">
        <w:rPr>
          <w:rFonts w:cs="Arial"/>
          <w:sz w:val="18"/>
          <w:szCs w:val="18"/>
        </w:rPr>
        <w:t xml:space="preserve"> </w:t>
      </w:r>
      <w:r w:rsidR="003132BC" w:rsidRPr="0052219E">
        <w:rPr>
          <w:rFonts w:cs="Arial"/>
          <w:sz w:val="18"/>
          <w:szCs w:val="18"/>
        </w:rPr>
        <w:t>with</w:t>
      </w:r>
      <w:r w:rsidR="0019126E" w:rsidRPr="0052219E">
        <w:rPr>
          <w:rFonts w:cs="Arial"/>
          <w:sz w:val="18"/>
          <w:szCs w:val="18"/>
        </w:rPr>
        <w:t xml:space="preserve"> </w:t>
      </w:r>
      <w:r w:rsidR="003132BC" w:rsidRPr="0052219E">
        <w:rPr>
          <w:rFonts w:cs="Arial"/>
          <w:sz w:val="18"/>
          <w:szCs w:val="18"/>
        </w:rPr>
        <w:t xml:space="preserve">glass-ceramic bond coat and 8-YSZ top coat. </w:t>
      </w:r>
      <w:r w:rsidR="00A9710C" w:rsidRPr="0052219E">
        <w:rPr>
          <w:sz w:val="18"/>
          <w:szCs w:val="18"/>
        </w:rPr>
        <w:t>Methodolog</w:t>
      </w:r>
      <w:r w:rsidR="008756E6" w:rsidRPr="0052219E">
        <w:rPr>
          <w:sz w:val="18"/>
          <w:szCs w:val="18"/>
        </w:rPr>
        <w:t>y</w:t>
      </w:r>
      <w:r w:rsidR="00232678" w:rsidRPr="0052219E">
        <w:rPr>
          <w:sz w:val="18"/>
          <w:szCs w:val="18"/>
        </w:rPr>
        <w:t>:</w:t>
      </w:r>
      <w:r w:rsidR="008756E6" w:rsidRPr="0052219E">
        <w:rPr>
          <w:sz w:val="18"/>
          <w:szCs w:val="18"/>
        </w:rPr>
        <w:t xml:space="preserve"> </w:t>
      </w:r>
      <w:r w:rsidR="000C1F32" w:rsidRPr="0052219E">
        <w:rPr>
          <w:rFonts w:cs="Arial"/>
          <w:sz w:val="18"/>
          <w:szCs w:val="18"/>
        </w:rPr>
        <w:t xml:space="preserve">Assessment of weight change, X-ray diffraction (XRD), scanning electron microscopy (SEM), energy dispersive X-ray (EDX) analysis </w:t>
      </w:r>
      <w:r w:rsidR="000E7B2B" w:rsidRPr="0052219E">
        <w:rPr>
          <w:rFonts w:cs="Arial"/>
          <w:sz w:val="18"/>
          <w:szCs w:val="18"/>
        </w:rPr>
        <w:t>were</w:t>
      </w:r>
      <w:r w:rsidR="000C1F32" w:rsidRPr="0052219E">
        <w:rPr>
          <w:rFonts w:cs="Arial"/>
          <w:sz w:val="18"/>
          <w:szCs w:val="18"/>
        </w:rPr>
        <w:t xml:space="preserve"> performed for both TBCs </w:t>
      </w:r>
      <w:r w:rsidR="000E7B2B" w:rsidRPr="0052219E">
        <w:rPr>
          <w:rFonts w:cs="Arial"/>
          <w:sz w:val="18"/>
          <w:szCs w:val="18"/>
        </w:rPr>
        <w:t>after thermal cyclic tests at 1000</w:t>
      </w:r>
      <w:r w:rsidR="000E7B2B" w:rsidRPr="0052219E">
        <w:rPr>
          <w:rFonts w:ascii="Cambria Math" w:hAnsi="Cambria Math" w:cs="Cambria Math"/>
          <w:sz w:val="18"/>
          <w:szCs w:val="18"/>
        </w:rPr>
        <w:t>℃</w:t>
      </w:r>
      <w:r w:rsidR="000E7B2B" w:rsidRPr="0052219E">
        <w:rPr>
          <w:rFonts w:cs="Cambria Math"/>
          <w:sz w:val="18"/>
          <w:szCs w:val="18"/>
        </w:rPr>
        <w:t xml:space="preserve"> </w:t>
      </w:r>
      <w:r w:rsidR="000E7B2B" w:rsidRPr="0052219E">
        <w:rPr>
          <w:rFonts w:cs="Arial"/>
          <w:sz w:val="18"/>
          <w:szCs w:val="18"/>
        </w:rPr>
        <w:t>for 500 cycles.</w:t>
      </w:r>
      <w:r w:rsidR="000E7B2B" w:rsidRPr="0052219E">
        <w:rPr>
          <w:sz w:val="18"/>
          <w:szCs w:val="18"/>
        </w:rPr>
        <w:t xml:space="preserve"> </w:t>
      </w:r>
      <w:r w:rsidR="00A9710C" w:rsidRPr="0052219E">
        <w:rPr>
          <w:sz w:val="18"/>
          <w:szCs w:val="18"/>
        </w:rPr>
        <w:t xml:space="preserve">Findings: </w:t>
      </w:r>
      <w:r w:rsidR="000E7B2B" w:rsidRPr="0052219E">
        <w:rPr>
          <w:rFonts w:cs="Arial"/>
          <w:sz w:val="18"/>
          <w:szCs w:val="18"/>
        </w:rPr>
        <w:t>W</w:t>
      </w:r>
      <w:r w:rsidR="000C1F32" w:rsidRPr="0052219E">
        <w:rPr>
          <w:rFonts w:cs="Arial"/>
          <w:sz w:val="18"/>
          <w:szCs w:val="18"/>
        </w:rPr>
        <w:t>eight change measurement indicated that formation of thermally grown oxide (TGO) dominated over the coating spallation up to 300 cycles in case of both TBCs. On the contrary, coating spallation was much more than TGO formation beyond 300 cycles for both TBCs. Further, TGO was not appeared at the bond coat/top coat interface of glass-ceramic bond coated TBC system whereas it was clearly observed in the interfacial region of bond coat and top coat of conventional TBC</w:t>
      </w:r>
      <w:r w:rsidR="000C1F32" w:rsidRPr="0052219E">
        <w:rPr>
          <w:rFonts w:cs="Times New Roman"/>
          <w:sz w:val="18"/>
          <w:szCs w:val="18"/>
        </w:rPr>
        <w:t xml:space="preserve"> system after completion of 500 cycles at 1000</w:t>
      </w:r>
      <w:r w:rsidR="000C1F32" w:rsidRPr="0052219E">
        <w:rPr>
          <w:rFonts w:cs="Times New Roman"/>
          <w:sz w:val="18"/>
          <w:szCs w:val="18"/>
          <w:vertAlign w:val="superscript"/>
        </w:rPr>
        <w:t>o</w:t>
      </w:r>
      <w:r w:rsidR="000C1F32" w:rsidRPr="0052219E">
        <w:rPr>
          <w:rFonts w:cs="Times New Roman"/>
          <w:sz w:val="18"/>
          <w:szCs w:val="18"/>
        </w:rPr>
        <w:t xml:space="preserve">C. </w:t>
      </w:r>
      <w:r w:rsidR="00A9710C" w:rsidRPr="0052219E">
        <w:rPr>
          <w:sz w:val="18"/>
          <w:szCs w:val="18"/>
        </w:rPr>
        <w:t xml:space="preserve">Conclusion &amp; Significance: </w:t>
      </w:r>
      <w:r w:rsidR="00232678" w:rsidRPr="0052219E">
        <w:rPr>
          <w:rFonts w:cs="Times New Roman"/>
          <w:sz w:val="18"/>
          <w:szCs w:val="18"/>
        </w:rPr>
        <w:t>Glass ceramics as a bond coat in a TBC system can provide better heat resistance, oxidation resistance and good stability towards thermal cycling compared to conventional TBC system</w:t>
      </w:r>
      <w:r w:rsidR="000E3D9C" w:rsidRPr="0052219E">
        <w:rPr>
          <w:rFonts w:cs="Times New Roman"/>
          <w:sz w:val="18"/>
          <w:szCs w:val="18"/>
        </w:rPr>
        <w:t xml:space="preserve">. Moreover, TGO formation could be avoided by using this new TBC system, which is the most significant </w:t>
      </w:r>
      <w:r w:rsidR="00803E72" w:rsidRPr="0052219E">
        <w:rPr>
          <w:rFonts w:cs="Times New Roman"/>
          <w:sz w:val="18"/>
          <w:szCs w:val="18"/>
        </w:rPr>
        <w:t xml:space="preserve">controlling </w:t>
      </w:r>
      <w:r w:rsidR="000E3D9C" w:rsidRPr="0052219E">
        <w:rPr>
          <w:rFonts w:cs="Times New Roman"/>
          <w:sz w:val="18"/>
          <w:szCs w:val="18"/>
        </w:rPr>
        <w:t xml:space="preserve">factor for </w:t>
      </w:r>
      <w:r w:rsidR="00803E72" w:rsidRPr="0052219E">
        <w:rPr>
          <w:rFonts w:cs="Times New Roman"/>
          <w:sz w:val="18"/>
          <w:szCs w:val="18"/>
        </w:rPr>
        <w:t xml:space="preserve">the </w:t>
      </w:r>
      <w:r w:rsidR="000E3D9C" w:rsidRPr="0052219E">
        <w:rPr>
          <w:rFonts w:cs="Times New Roman"/>
          <w:sz w:val="18"/>
          <w:szCs w:val="18"/>
        </w:rPr>
        <w:t>TBC degradation.</w:t>
      </w:r>
      <w:r w:rsidR="00232678" w:rsidRPr="00CE3AD0">
        <w:rPr>
          <w:sz w:val="18"/>
          <w:szCs w:val="18"/>
        </w:rPr>
        <w:t xml:space="preserve"> </w:t>
      </w:r>
      <w:r w:rsidR="00A9710C" w:rsidRPr="00CE3AD0">
        <w:rPr>
          <w:sz w:val="18"/>
          <w:szCs w:val="18"/>
        </w:rPr>
        <w:br w:type="column"/>
      </w:r>
      <w:r w:rsidR="00A9710C" w:rsidRPr="00764DD7">
        <w:rPr>
          <w:color w:val="BF5A14"/>
          <w:sz w:val="18"/>
          <w:szCs w:val="18"/>
        </w:rPr>
        <w:lastRenderedPageBreak/>
        <w:t>Image</w:t>
      </w:r>
    </w:p>
    <w:p w:rsidR="0053161B" w:rsidRPr="00764DD7" w:rsidRDefault="0053161B">
      <w:pPr>
        <w:pStyle w:val="Heading3"/>
        <w:spacing w:before="74"/>
        <w:rPr>
          <w:rFonts w:ascii="Tw Cen MT" w:hAnsi="Tw Cen MT"/>
          <w:sz w:val="18"/>
          <w:szCs w:val="18"/>
        </w:rPr>
      </w:pPr>
    </w:p>
    <w:p w:rsidR="00AE3E37" w:rsidRPr="00764DD7" w:rsidRDefault="00494FC8">
      <w:pPr>
        <w:pStyle w:val="BodyText"/>
        <w:spacing w:before="2"/>
        <w:rPr>
          <w:b/>
        </w:rPr>
      </w:pPr>
      <w:r w:rsidRPr="00764DD7">
        <w:rPr>
          <w:noProof/>
          <w:lang w:val="en-IN" w:eastAsia="en-IN" w:bidi="hi-IN"/>
        </w:rPr>
        <w:drawing>
          <wp:inline distT="0" distB="0" distL="0" distR="0" wp14:anchorId="365DCDE8" wp14:editId="47B10716">
            <wp:extent cx="3165475" cy="1515144"/>
            <wp:effectExtent l="0" t="0" r="0" b="8890"/>
            <wp:docPr id="20" name="Picture 20" descr="C:\Users\S Dutta\Desktop\Fi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 Dutta\Desktop\Fig. 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5475" cy="1515144"/>
                    </a:xfrm>
                    <a:prstGeom prst="rect">
                      <a:avLst/>
                    </a:prstGeom>
                    <a:noFill/>
                    <a:ln>
                      <a:noFill/>
                    </a:ln>
                  </pic:spPr>
                </pic:pic>
              </a:graphicData>
            </a:graphic>
          </wp:inline>
        </w:drawing>
      </w:r>
    </w:p>
    <w:p w:rsidR="005973B9" w:rsidRDefault="005973B9" w:rsidP="005973B9">
      <w:pPr>
        <w:spacing w:line="204" w:lineRule="exact"/>
        <w:rPr>
          <w:b/>
          <w:color w:val="BF5A14"/>
          <w:sz w:val="18"/>
          <w:szCs w:val="18"/>
        </w:rPr>
      </w:pPr>
      <w:r w:rsidRPr="00764DD7">
        <w:rPr>
          <w:b/>
          <w:color w:val="BF5A14"/>
          <w:sz w:val="18"/>
          <w:szCs w:val="18"/>
        </w:rPr>
        <w:br/>
        <w:t>Recent Publications (minimum 5)</w:t>
      </w:r>
    </w:p>
    <w:p w:rsidR="007F526C" w:rsidRPr="00764DD7" w:rsidRDefault="007F526C" w:rsidP="005973B9">
      <w:pPr>
        <w:spacing w:line="204" w:lineRule="exact"/>
        <w:rPr>
          <w:b/>
          <w:sz w:val="18"/>
          <w:szCs w:val="18"/>
        </w:rPr>
      </w:pPr>
    </w:p>
    <w:p w:rsidR="003F600A" w:rsidRPr="003F600A" w:rsidRDefault="007D6FE8" w:rsidP="007E4932">
      <w:pPr>
        <w:pStyle w:val="NoSpacing"/>
        <w:numPr>
          <w:ilvl w:val="0"/>
          <w:numId w:val="3"/>
        </w:numPr>
        <w:spacing w:line="281" w:lineRule="auto"/>
        <w:ind w:left="380"/>
        <w:jc w:val="both"/>
        <w:rPr>
          <w:rFonts w:ascii="Tw Cen MT" w:hAnsi="Tw Cen MT" w:cs="Times New Roman"/>
          <w:sz w:val="18"/>
          <w:szCs w:val="18"/>
        </w:rPr>
      </w:pPr>
      <w:proofErr w:type="spellStart"/>
      <w:r>
        <w:rPr>
          <w:rFonts w:ascii="Tw Cen MT" w:hAnsi="Tw Cen MT" w:cs="Times New Roman"/>
          <w:sz w:val="18"/>
          <w:szCs w:val="18"/>
        </w:rPr>
        <w:t>Datta</w:t>
      </w:r>
      <w:proofErr w:type="spellEnd"/>
      <w:r>
        <w:rPr>
          <w:rFonts w:ascii="Tw Cen MT" w:hAnsi="Tw Cen MT" w:cs="Times New Roman"/>
          <w:sz w:val="18"/>
          <w:szCs w:val="18"/>
        </w:rPr>
        <w:t xml:space="preserve"> S, </w:t>
      </w:r>
      <w:r w:rsidR="003F600A" w:rsidRPr="003F600A">
        <w:rPr>
          <w:rFonts w:ascii="Tw Cen MT" w:hAnsi="Tw Cen MT" w:cs="Times New Roman"/>
          <w:sz w:val="18"/>
          <w:szCs w:val="18"/>
        </w:rPr>
        <w:t>Das S</w:t>
      </w:r>
      <w:r>
        <w:rPr>
          <w:rFonts w:ascii="Tw Cen MT" w:hAnsi="Tw Cen MT" w:cs="Times New Roman"/>
          <w:sz w:val="18"/>
          <w:szCs w:val="18"/>
        </w:rPr>
        <w:t xml:space="preserve"> (2005)</w:t>
      </w:r>
      <w:r w:rsidR="003F600A" w:rsidRPr="003F600A">
        <w:rPr>
          <w:rFonts w:ascii="Tw Cen MT" w:hAnsi="Tw Cen MT" w:cs="Times New Roman"/>
          <w:b/>
          <w:sz w:val="18"/>
          <w:szCs w:val="18"/>
        </w:rPr>
        <w:t xml:space="preserve"> </w:t>
      </w:r>
      <w:r w:rsidR="003F600A" w:rsidRPr="003F600A">
        <w:rPr>
          <w:rFonts w:ascii="Tw Cen MT" w:hAnsi="Tw Cen MT" w:cs="Times New Roman"/>
          <w:sz w:val="18"/>
          <w:szCs w:val="18"/>
        </w:rPr>
        <w:t xml:space="preserve">A new high temperature resistant glass-ceramic </w:t>
      </w:r>
      <w:proofErr w:type="spellStart"/>
      <w:r w:rsidR="003F600A" w:rsidRPr="003F600A">
        <w:rPr>
          <w:rFonts w:ascii="Tw Cen MT" w:hAnsi="Tw Cen MT" w:cs="Times New Roman"/>
          <w:sz w:val="18"/>
          <w:szCs w:val="18"/>
        </w:rPr>
        <w:t>coatingfor</w:t>
      </w:r>
      <w:proofErr w:type="spellEnd"/>
      <w:r w:rsidR="003F600A" w:rsidRPr="003F600A">
        <w:rPr>
          <w:rFonts w:ascii="Tw Cen MT" w:hAnsi="Tw Cen MT" w:cs="Times New Roman"/>
          <w:sz w:val="18"/>
          <w:szCs w:val="18"/>
        </w:rPr>
        <w:t xml:space="preserve"> gas turbine engine components</w:t>
      </w:r>
      <w:r w:rsidR="003F600A" w:rsidRPr="003F600A">
        <w:rPr>
          <w:rFonts w:ascii="Tw Cen MT" w:hAnsi="Tw Cen MT" w:cs="Times New Roman"/>
          <w:b/>
          <w:sz w:val="18"/>
          <w:szCs w:val="18"/>
        </w:rPr>
        <w:t>.</w:t>
      </w:r>
      <w:r>
        <w:rPr>
          <w:rFonts w:ascii="Tw Cen MT" w:hAnsi="Tw Cen MT" w:cs="Times New Roman"/>
          <w:b/>
          <w:sz w:val="18"/>
          <w:szCs w:val="18"/>
        </w:rPr>
        <w:t xml:space="preserve"> </w:t>
      </w:r>
      <w:r w:rsidRPr="007D6FE8">
        <w:rPr>
          <w:rFonts w:ascii="Tw Cen MT" w:hAnsi="Tw Cen MT" w:cs="Times New Roman"/>
          <w:iCs/>
          <w:sz w:val="18"/>
          <w:szCs w:val="18"/>
        </w:rPr>
        <w:t>Bulletin of Material Science</w:t>
      </w:r>
      <w:r w:rsidR="003F600A" w:rsidRPr="007D6FE8">
        <w:rPr>
          <w:rFonts w:ascii="Tw Cen MT" w:hAnsi="Tw Cen MT" w:cs="Times New Roman"/>
          <w:iCs/>
          <w:sz w:val="18"/>
          <w:szCs w:val="18"/>
        </w:rPr>
        <w:t xml:space="preserve"> </w:t>
      </w:r>
      <w:r w:rsidR="003F600A" w:rsidRPr="003F600A">
        <w:rPr>
          <w:rFonts w:ascii="Tw Cen MT" w:hAnsi="Tw Cen MT" w:cs="Times New Roman"/>
          <w:sz w:val="18"/>
          <w:szCs w:val="18"/>
        </w:rPr>
        <w:t>28: 689-696</w:t>
      </w:r>
    </w:p>
    <w:p w:rsidR="007E4932" w:rsidRPr="003F600A" w:rsidRDefault="006012AA" w:rsidP="007E4932">
      <w:pPr>
        <w:pStyle w:val="NoSpacing"/>
        <w:numPr>
          <w:ilvl w:val="0"/>
          <w:numId w:val="3"/>
        </w:numPr>
        <w:spacing w:line="281" w:lineRule="auto"/>
        <w:ind w:left="380"/>
        <w:jc w:val="both"/>
        <w:rPr>
          <w:rFonts w:ascii="Tw Cen MT" w:hAnsi="Tw Cen MT" w:cs="Times New Roman"/>
          <w:sz w:val="18"/>
          <w:szCs w:val="18"/>
        </w:rPr>
      </w:pPr>
      <w:r>
        <w:rPr>
          <w:rFonts w:ascii="Tw Cen MT" w:hAnsi="Tw Cen MT" w:cs="Times New Roman"/>
          <w:sz w:val="18"/>
          <w:szCs w:val="18"/>
        </w:rPr>
        <w:t xml:space="preserve">Das S, </w:t>
      </w:r>
      <w:proofErr w:type="spellStart"/>
      <w:r>
        <w:rPr>
          <w:rFonts w:ascii="Tw Cen MT" w:hAnsi="Tw Cen MT" w:cs="Times New Roman"/>
          <w:sz w:val="18"/>
          <w:szCs w:val="18"/>
        </w:rPr>
        <w:t>Datta</w:t>
      </w:r>
      <w:proofErr w:type="spellEnd"/>
      <w:r>
        <w:rPr>
          <w:rFonts w:ascii="Tw Cen MT" w:hAnsi="Tw Cen MT" w:cs="Times New Roman"/>
          <w:sz w:val="18"/>
          <w:szCs w:val="18"/>
        </w:rPr>
        <w:t xml:space="preserve"> S, </w:t>
      </w:r>
      <w:proofErr w:type="spellStart"/>
      <w:r>
        <w:rPr>
          <w:rFonts w:ascii="Tw Cen MT" w:hAnsi="Tw Cen MT" w:cs="Times New Roman"/>
          <w:sz w:val="18"/>
          <w:szCs w:val="18"/>
        </w:rPr>
        <w:t>Basu</w:t>
      </w:r>
      <w:proofErr w:type="spellEnd"/>
      <w:r>
        <w:rPr>
          <w:rFonts w:ascii="Tw Cen MT" w:hAnsi="Tw Cen MT" w:cs="Times New Roman"/>
          <w:sz w:val="18"/>
          <w:szCs w:val="18"/>
        </w:rPr>
        <w:t xml:space="preserve"> D,</w:t>
      </w:r>
      <w:r w:rsidR="007E4932" w:rsidRPr="003F600A">
        <w:rPr>
          <w:rFonts w:ascii="Tw Cen MT" w:hAnsi="Tw Cen MT" w:cs="Times New Roman"/>
          <w:sz w:val="18"/>
          <w:szCs w:val="18"/>
        </w:rPr>
        <w:t xml:space="preserve"> Das G C</w:t>
      </w:r>
      <w:r>
        <w:rPr>
          <w:rFonts w:ascii="Tw Cen MT" w:hAnsi="Tw Cen MT" w:cs="Times New Roman"/>
          <w:sz w:val="18"/>
          <w:szCs w:val="18"/>
        </w:rPr>
        <w:t xml:space="preserve"> (2009)</w:t>
      </w:r>
      <w:r w:rsidR="007E4932" w:rsidRPr="003F600A">
        <w:rPr>
          <w:rFonts w:ascii="Tw Cen MT" w:hAnsi="Tw Cen MT" w:cs="Times New Roman"/>
          <w:sz w:val="18"/>
          <w:szCs w:val="18"/>
        </w:rPr>
        <w:t xml:space="preserve"> Glass-ceramics as oxidation resistant bond coat in thermal barrier coating system.</w:t>
      </w:r>
      <w:r>
        <w:rPr>
          <w:rFonts w:ascii="Tw Cen MT" w:hAnsi="Tw Cen MT" w:cs="Times New Roman"/>
          <w:sz w:val="18"/>
          <w:szCs w:val="18"/>
        </w:rPr>
        <w:t xml:space="preserve"> </w:t>
      </w:r>
      <w:r w:rsidR="007E4932" w:rsidRPr="006012AA">
        <w:rPr>
          <w:rFonts w:ascii="Tw Cen MT" w:hAnsi="Tw Cen MT" w:cs="Times New Roman"/>
          <w:iCs/>
          <w:sz w:val="18"/>
          <w:szCs w:val="18"/>
        </w:rPr>
        <w:t>Ceramics International</w:t>
      </w:r>
      <w:r>
        <w:rPr>
          <w:rFonts w:ascii="Tw Cen MT" w:hAnsi="Tw Cen MT" w:cs="Times New Roman"/>
          <w:sz w:val="18"/>
          <w:szCs w:val="18"/>
        </w:rPr>
        <w:t xml:space="preserve"> </w:t>
      </w:r>
      <w:r w:rsidR="007E4932" w:rsidRPr="003F600A">
        <w:rPr>
          <w:rFonts w:ascii="Tw Cen MT" w:hAnsi="Tw Cen MT" w:cs="Times New Roman"/>
          <w:sz w:val="18"/>
          <w:szCs w:val="18"/>
        </w:rPr>
        <w:t>35: 1403-1406.</w:t>
      </w:r>
    </w:p>
    <w:p w:rsidR="007E4932" w:rsidRPr="003F600A" w:rsidRDefault="00AB4971" w:rsidP="007E4932">
      <w:pPr>
        <w:pStyle w:val="NoSpacing"/>
        <w:numPr>
          <w:ilvl w:val="0"/>
          <w:numId w:val="3"/>
        </w:numPr>
        <w:spacing w:line="281" w:lineRule="auto"/>
        <w:ind w:left="380"/>
        <w:jc w:val="both"/>
        <w:rPr>
          <w:rFonts w:ascii="Tw Cen MT" w:hAnsi="Tw Cen MT" w:cs="Times New Roman"/>
          <w:sz w:val="18"/>
          <w:szCs w:val="18"/>
        </w:rPr>
      </w:pPr>
      <w:r>
        <w:rPr>
          <w:rFonts w:ascii="Tw Cen MT" w:hAnsi="Tw Cen MT" w:cs="Times New Roman"/>
          <w:sz w:val="18"/>
          <w:szCs w:val="18"/>
        </w:rPr>
        <w:t xml:space="preserve">Das S, </w:t>
      </w:r>
      <w:proofErr w:type="spellStart"/>
      <w:r>
        <w:rPr>
          <w:rFonts w:ascii="Tw Cen MT" w:hAnsi="Tw Cen MT" w:cs="Times New Roman"/>
          <w:sz w:val="18"/>
          <w:szCs w:val="18"/>
        </w:rPr>
        <w:t>Datta</w:t>
      </w:r>
      <w:proofErr w:type="spellEnd"/>
      <w:r>
        <w:rPr>
          <w:rFonts w:ascii="Tw Cen MT" w:hAnsi="Tw Cen MT" w:cs="Times New Roman"/>
          <w:sz w:val="18"/>
          <w:szCs w:val="18"/>
        </w:rPr>
        <w:t xml:space="preserve"> S, </w:t>
      </w:r>
      <w:proofErr w:type="spellStart"/>
      <w:r>
        <w:rPr>
          <w:rFonts w:ascii="Tw Cen MT" w:hAnsi="Tw Cen MT" w:cs="Times New Roman"/>
          <w:sz w:val="18"/>
          <w:szCs w:val="18"/>
        </w:rPr>
        <w:t>Basu</w:t>
      </w:r>
      <w:proofErr w:type="spellEnd"/>
      <w:r>
        <w:rPr>
          <w:rFonts w:ascii="Tw Cen MT" w:hAnsi="Tw Cen MT" w:cs="Times New Roman"/>
          <w:sz w:val="18"/>
          <w:szCs w:val="18"/>
        </w:rPr>
        <w:t xml:space="preserve"> D,</w:t>
      </w:r>
      <w:r w:rsidR="007E4932" w:rsidRPr="003F600A">
        <w:rPr>
          <w:rFonts w:ascii="Tw Cen MT" w:hAnsi="Tw Cen MT" w:cs="Times New Roman"/>
          <w:sz w:val="18"/>
          <w:szCs w:val="18"/>
        </w:rPr>
        <w:t xml:space="preserve"> Das G C</w:t>
      </w:r>
      <w:r>
        <w:rPr>
          <w:rFonts w:ascii="Tw Cen MT" w:hAnsi="Tw Cen MT" w:cs="Times New Roman"/>
          <w:sz w:val="18"/>
          <w:szCs w:val="18"/>
        </w:rPr>
        <w:t xml:space="preserve"> (2009)</w:t>
      </w:r>
      <w:r w:rsidR="007E4932" w:rsidRPr="003F600A">
        <w:rPr>
          <w:rFonts w:ascii="Tw Cen MT" w:hAnsi="Tw Cen MT" w:cs="Times New Roman"/>
          <w:sz w:val="18"/>
          <w:szCs w:val="18"/>
        </w:rPr>
        <w:t xml:space="preserve"> Thermal cyclic behavior of glass-ceramic bonded thermal barrier coating on </w:t>
      </w:r>
      <w:proofErr w:type="spellStart"/>
      <w:r w:rsidR="007E4932" w:rsidRPr="003F600A">
        <w:rPr>
          <w:rFonts w:ascii="Tw Cen MT" w:hAnsi="Tw Cen MT" w:cs="Times New Roman"/>
          <w:sz w:val="18"/>
          <w:szCs w:val="18"/>
        </w:rPr>
        <w:t>nimonic</w:t>
      </w:r>
      <w:proofErr w:type="spellEnd"/>
      <w:r w:rsidR="007E4932" w:rsidRPr="003F600A">
        <w:rPr>
          <w:rFonts w:ascii="Tw Cen MT" w:hAnsi="Tw Cen MT" w:cs="Times New Roman"/>
          <w:sz w:val="18"/>
          <w:szCs w:val="18"/>
        </w:rPr>
        <w:t xml:space="preserve"> alloy substrate.</w:t>
      </w:r>
      <w:r>
        <w:rPr>
          <w:rFonts w:ascii="Tw Cen MT" w:hAnsi="Tw Cen MT" w:cs="Times New Roman"/>
          <w:sz w:val="18"/>
          <w:szCs w:val="18"/>
        </w:rPr>
        <w:t xml:space="preserve"> </w:t>
      </w:r>
      <w:r w:rsidR="007E4932" w:rsidRPr="00AB4971">
        <w:rPr>
          <w:rFonts w:ascii="Tw Cen MT" w:hAnsi="Tw Cen MT" w:cs="Times New Roman"/>
          <w:iCs/>
          <w:sz w:val="18"/>
          <w:szCs w:val="18"/>
        </w:rPr>
        <w:t>Ceramics International</w:t>
      </w:r>
      <w:r w:rsidR="007E4932" w:rsidRPr="003F600A">
        <w:rPr>
          <w:rFonts w:ascii="Tw Cen MT" w:hAnsi="Tw Cen MT" w:cs="Times New Roman"/>
          <w:sz w:val="18"/>
          <w:szCs w:val="18"/>
        </w:rPr>
        <w:t xml:space="preserve"> 35: 2123-2129.</w:t>
      </w:r>
    </w:p>
    <w:p w:rsidR="008C2F3A" w:rsidRPr="003F600A" w:rsidRDefault="004A720C" w:rsidP="00A051F4">
      <w:pPr>
        <w:pStyle w:val="NoSpacing"/>
        <w:numPr>
          <w:ilvl w:val="0"/>
          <w:numId w:val="3"/>
        </w:numPr>
        <w:spacing w:line="281" w:lineRule="auto"/>
        <w:jc w:val="both"/>
        <w:rPr>
          <w:rFonts w:ascii="Tw Cen MT" w:hAnsi="Tw Cen MT" w:cs="Times New Roman"/>
          <w:sz w:val="18"/>
          <w:szCs w:val="18"/>
        </w:rPr>
      </w:pPr>
      <w:hyperlink r:id="rId11" w:anchor="!" w:history="1">
        <w:proofErr w:type="spellStart"/>
        <w:r w:rsidR="008C2F3A" w:rsidRPr="003F600A">
          <w:rPr>
            <w:rStyle w:val="text"/>
            <w:rFonts w:ascii="Tw Cen MT" w:hAnsi="Tw Cen MT" w:cs="Times New Roman"/>
            <w:sz w:val="18"/>
            <w:szCs w:val="18"/>
          </w:rPr>
          <w:t>Ebrahimzade</w:t>
        </w:r>
        <w:proofErr w:type="spellEnd"/>
        <w:r w:rsidR="008C2F3A" w:rsidRPr="003F600A">
          <w:rPr>
            <w:rStyle w:val="text"/>
            <w:rFonts w:ascii="Tw Cen MT" w:hAnsi="Tw Cen MT" w:cs="Times New Roman"/>
            <w:sz w:val="18"/>
            <w:szCs w:val="18"/>
          </w:rPr>
          <w:t xml:space="preserve"> V, </w:t>
        </w:r>
      </w:hyperlink>
      <w:hyperlink r:id="rId12" w:anchor="!" w:history="1">
        <w:proofErr w:type="spellStart"/>
        <w:r w:rsidR="008C2F3A" w:rsidRPr="003F600A">
          <w:rPr>
            <w:rStyle w:val="text"/>
            <w:rFonts w:ascii="Tw Cen MT" w:hAnsi="Tw Cen MT" w:cs="Times New Roman"/>
            <w:sz w:val="18"/>
            <w:szCs w:val="18"/>
          </w:rPr>
          <w:t>Uchtmann</w:t>
        </w:r>
        <w:proofErr w:type="spellEnd"/>
        <w:r w:rsidR="008C2F3A" w:rsidRPr="003F600A">
          <w:rPr>
            <w:rStyle w:val="text"/>
            <w:rFonts w:ascii="Tw Cen MT" w:hAnsi="Tw Cen MT" w:cs="Times New Roman"/>
            <w:sz w:val="18"/>
            <w:szCs w:val="18"/>
          </w:rPr>
          <w:t xml:space="preserve"> H, </w:t>
        </w:r>
      </w:hyperlink>
      <w:hyperlink r:id="rId13" w:anchor="!" w:history="1">
        <w:proofErr w:type="spellStart"/>
        <w:r w:rsidR="008C2F3A" w:rsidRPr="003F600A">
          <w:rPr>
            <w:rStyle w:val="text"/>
            <w:rFonts w:ascii="Tw Cen MT" w:hAnsi="Tw Cen MT" w:cs="Times New Roman"/>
            <w:sz w:val="18"/>
            <w:szCs w:val="18"/>
          </w:rPr>
          <w:t>Singheiser</w:t>
        </w:r>
        <w:proofErr w:type="spellEnd"/>
        <w:r w:rsidR="008C2F3A" w:rsidRPr="003F600A">
          <w:rPr>
            <w:rStyle w:val="text"/>
            <w:rFonts w:ascii="Tw Cen MT" w:hAnsi="Tw Cen MT" w:cs="Times New Roman"/>
            <w:sz w:val="18"/>
            <w:szCs w:val="18"/>
          </w:rPr>
          <w:t xml:space="preserve"> L, </w:t>
        </w:r>
      </w:hyperlink>
      <w:hyperlink r:id="rId14" w:anchor="!" w:history="1">
        <w:proofErr w:type="spellStart"/>
        <w:r w:rsidR="008C2F3A" w:rsidRPr="003F600A">
          <w:rPr>
            <w:rStyle w:val="text"/>
            <w:rFonts w:ascii="Tw Cen MT" w:hAnsi="Tw Cen MT" w:cs="Times New Roman"/>
            <w:sz w:val="18"/>
            <w:szCs w:val="18"/>
          </w:rPr>
          <w:t>Küger</w:t>
        </w:r>
        <w:proofErr w:type="spellEnd"/>
        <w:r w:rsidR="008C2F3A" w:rsidRPr="003F600A">
          <w:rPr>
            <w:rStyle w:val="text"/>
            <w:rFonts w:ascii="Tw Cen MT" w:hAnsi="Tw Cen MT" w:cs="Times New Roman"/>
            <w:sz w:val="18"/>
            <w:szCs w:val="18"/>
          </w:rPr>
          <w:t xml:space="preserve"> M, </w:t>
        </w:r>
      </w:hyperlink>
      <w:r w:rsidR="008C2F3A" w:rsidRPr="003F600A">
        <w:rPr>
          <w:rStyle w:val="author-ref"/>
          <w:rFonts w:ascii="Tw Cen MT" w:hAnsi="Tw Cen MT" w:cs="Times New Roman"/>
          <w:sz w:val="18"/>
          <w:szCs w:val="18"/>
        </w:rPr>
        <w:t xml:space="preserve"> </w:t>
      </w:r>
      <w:hyperlink r:id="rId15" w:anchor="!" w:history="1">
        <w:proofErr w:type="spellStart"/>
        <w:r w:rsidR="004A0A15">
          <w:rPr>
            <w:rStyle w:val="text"/>
            <w:rFonts w:ascii="Tw Cen MT" w:hAnsi="Tw Cen MT" w:cs="Times New Roman"/>
            <w:sz w:val="18"/>
            <w:szCs w:val="18"/>
          </w:rPr>
          <w:t>Malzbender</w:t>
        </w:r>
        <w:proofErr w:type="spellEnd"/>
        <w:r w:rsidR="004A0A15">
          <w:rPr>
            <w:rStyle w:val="text"/>
            <w:rFonts w:ascii="Tw Cen MT" w:hAnsi="Tw Cen MT" w:cs="Times New Roman"/>
            <w:sz w:val="18"/>
            <w:szCs w:val="18"/>
          </w:rPr>
          <w:t xml:space="preserve"> J (2019)</w:t>
        </w:r>
        <w:r w:rsidR="008C2F3A" w:rsidRPr="003F600A">
          <w:rPr>
            <w:rStyle w:val="text"/>
            <w:rFonts w:ascii="Tw Cen MT" w:hAnsi="Tw Cen MT" w:cs="Times New Roman"/>
            <w:sz w:val="18"/>
            <w:szCs w:val="18"/>
          </w:rPr>
          <w:t xml:space="preserve"> </w:t>
        </w:r>
      </w:hyperlink>
      <w:r w:rsidR="008C2F3A" w:rsidRPr="003F600A">
        <w:rPr>
          <w:rFonts w:ascii="Tw Cen MT" w:eastAsia="Times New Roman" w:hAnsi="Tw Cen MT" w:cs="Times New Roman"/>
          <w:sz w:val="18"/>
          <w:szCs w:val="18"/>
        </w:rPr>
        <w:t>Microstructure and cyclic oxidation behavior of APS TBC systems drilled with various laser methods</w:t>
      </w:r>
      <w:r w:rsidR="008C2F3A" w:rsidRPr="003F600A">
        <w:rPr>
          <w:rFonts w:ascii="Tw Cen MT" w:hAnsi="Tw Cen MT" w:cs="Times New Roman"/>
          <w:sz w:val="18"/>
          <w:szCs w:val="18"/>
        </w:rPr>
        <w:t>.</w:t>
      </w:r>
      <w:r w:rsidR="004A0A15">
        <w:rPr>
          <w:rFonts w:ascii="Tw Cen MT" w:hAnsi="Tw Cen MT" w:cs="Times New Roman"/>
          <w:sz w:val="18"/>
          <w:szCs w:val="18"/>
        </w:rPr>
        <w:t xml:space="preserve"> </w:t>
      </w:r>
      <w:hyperlink r:id="rId16" w:tooltip="Go to Surface and Coatings Technology on ScienceDirect" w:history="1">
        <w:r w:rsidR="008C2F3A" w:rsidRPr="004A0A15">
          <w:rPr>
            <w:rStyle w:val="Hyperlink"/>
            <w:rFonts w:ascii="Tw Cen MT" w:hAnsi="Tw Cen MT" w:cs="Times New Roman"/>
            <w:color w:val="auto"/>
            <w:sz w:val="18"/>
            <w:szCs w:val="18"/>
            <w:u w:val="none"/>
          </w:rPr>
          <w:t>Surface and Coatings Technology</w:t>
        </w:r>
      </w:hyperlink>
      <w:hyperlink r:id="rId17" w:tooltip="Go to table of contents for this volume/issue" w:history="1">
        <w:r w:rsidR="008C2F3A" w:rsidRPr="003F600A">
          <w:rPr>
            <w:rFonts w:ascii="Tw Cen MT" w:hAnsi="Tw Cen MT" w:cs="Times New Roman"/>
            <w:sz w:val="18"/>
            <w:szCs w:val="18"/>
          </w:rPr>
          <w:t xml:space="preserve"> </w:t>
        </w:r>
        <w:r w:rsidR="008C2F3A" w:rsidRPr="003F600A">
          <w:rPr>
            <w:rStyle w:val="Hyperlink"/>
            <w:rFonts w:ascii="Tw Cen MT" w:hAnsi="Tw Cen MT" w:cs="Times New Roman"/>
            <w:color w:val="auto"/>
            <w:sz w:val="18"/>
            <w:szCs w:val="18"/>
            <w:u w:val="none"/>
          </w:rPr>
          <w:t>378</w:t>
        </w:r>
      </w:hyperlink>
      <w:r w:rsidR="008C2F3A" w:rsidRPr="003F600A">
        <w:rPr>
          <w:rFonts w:ascii="Tw Cen MT" w:hAnsi="Tw Cen MT" w:cs="Times New Roman"/>
          <w:sz w:val="18"/>
          <w:szCs w:val="18"/>
        </w:rPr>
        <w:t>: 1-11.</w:t>
      </w:r>
    </w:p>
    <w:p w:rsidR="00A051F4" w:rsidRPr="003F600A" w:rsidRDefault="003F600A" w:rsidP="00A051F4">
      <w:pPr>
        <w:pStyle w:val="Heading2"/>
        <w:spacing w:line="281" w:lineRule="auto"/>
        <w:ind w:left="426" w:hanging="326"/>
        <w:jc w:val="both"/>
        <w:rPr>
          <w:rFonts w:ascii="Tw Cen MT" w:hAnsi="Tw Cen MT" w:cs="Times New Roman"/>
          <w:sz w:val="18"/>
          <w:szCs w:val="18"/>
        </w:rPr>
      </w:pPr>
      <w:r>
        <w:rPr>
          <w:rFonts w:ascii="Tw Cen MT" w:hAnsi="Tw Cen MT" w:cs="Times New Roman"/>
          <w:sz w:val="18"/>
          <w:szCs w:val="18"/>
        </w:rPr>
        <w:t>5</w:t>
      </w:r>
      <w:r w:rsidR="00A051F4" w:rsidRPr="003F600A">
        <w:rPr>
          <w:rFonts w:ascii="Tw Cen MT" w:hAnsi="Tw Cen MT" w:cs="Times New Roman"/>
          <w:sz w:val="18"/>
          <w:szCs w:val="18"/>
        </w:rPr>
        <w:t xml:space="preserve">.   Li X, </w:t>
      </w:r>
      <w:proofErr w:type="spellStart"/>
      <w:r w:rsidR="00A051F4" w:rsidRPr="003F600A">
        <w:rPr>
          <w:rFonts w:ascii="Tw Cen MT" w:hAnsi="Tw Cen MT" w:cs="Times New Roman"/>
          <w:sz w:val="18"/>
          <w:szCs w:val="18"/>
        </w:rPr>
        <w:t>Peng</w:t>
      </w:r>
      <w:proofErr w:type="spellEnd"/>
      <w:r w:rsidR="00A051F4" w:rsidRPr="003F600A">
        <w:rPr>
          <w:rFonts w:ascii="Tw Cen MT" w:hAnsi="Tw Cen MT" w:cs="Times New Roman"/>
          <w:sz w:val="18"/>
          <w:szCs w:val="18"/>
        </w:rPr>
        <w:t xml:space="preserve"> X Y, Dong H, </w:t>
      </w:r>
      <w:r w:rsidR="00B7467A">
        <w:rPr>
          <w:rFonts w:ascii="Tw Cen MT" w:hAnsi="Tw Cen MT" w:cs="Times New Roman"/>
          <w:sz w:val="18"/>
          <w:szCs w:val="18"/>
        </w:rPr>
        <w:t xml:space="preserve">Zhao Y, Wang T, </w:t>
      </w:r>
      <w:proofErr w:type="spellStart"/>
      <w:r w:rsidR="00C967BB">
        <w:rPr>
          <w:rFonts w:ascii="Tw Cen MT" w:hAnsi="Tw Cen MT" w:cs="Times New Roman"/>
          <w:sz w:val="18"/>
          <w:szCs w:val="18"/>
        </w:rPr>
        <w:t>Ren</w:t>
      </w:r>
      <w:proofErr w:type="spellEnd"/>
      <w:r w:rsidR="00C967BB">
        <w:rPr>
          <w:rFonts w:ascii="Tw Cen MT" w:hAnsi="Tw Cen MT" w:cs="Times New Roman"/>
          <w:sz w:val="18"/>
          <w:szCs w:val="18"/>
        </w:rPr>
        <w:t xml:space="preserve"> K, Sun L (2019)</w:t>
      </w:r>
      <w:r w:rsidR="00A051F4" w:rsidRPr="003F600A">
        <w:rPr>
          <w:rFonts w:ascii="Tw Cen MT" w:hAnsi="Tw Cen MT" w:cs="Times New Roman"/>
          <w:sz w:val="18"/>
          <w:szCs w:val="18"/>
        </w:rPr>
        <w:t xml:space="preserve"> </w:t>
      </w:r>
      <w:proofErr w:type="gramStart"/>
      <w:r w:rsidR="00A051F4" w:rsidRPr="003F600A">
        <w:rPr>
          <w:rFonts w:ascii="Tw Cen MT" w:hAnsi="Tw Cen MT" w:cs="Times New Roman"/>
          <w:sz w:val="18"/>
          <w:szCs w:val="18"/>
        </w:rPr>
        <w:t>The</w:t>
      </w:r>
      <w:proofErr w:type="gramEnd"/>
      <w:r w:rsidR="00A051F4" w:rsidRPr="003F600A">
        <w:rPr>
          <w:rFonts w:ascii="Tw Cen MT" w:hAnsi="Tw Cen MT" w:cs="Times New Roman"/>
          <w:sz w:val="18"/>
          <w:szCs w:val="18"/>
        </w:rPr>
        <w:t xml:space="preserve"> evaluation of durability of plasma-sprayed thermal barrier coatings with double-layer bond coat.</w:t>
      </w:r>
      <w:r w:rsidR="00C967BB">
        <w:rPr>
          <w:rFonts w:ascii="Tw Cen MT" w:hAnsi="Tw Cen MT" w:cs="Times New Roman"/>
          <w:sz w:val="18"/>
          <w:szCs w:val="18"/>
        </w:rPr>
        <w:t xml:space="preserve"> </w:t>
      </w:r>
      <w:r w:rsidR="00A051F4" w:rsidRPr="00C967BB">
        <w:rPr>
          <w:rFonts w:ascii="Tw Cen MT" w:hAnsi="Tw Cen MT" w:cs="Times New Roman"/>
          <w:iCs/>
          <w:sz w:val="18"/>
          <w:szCs w:val="18"/>
        </w:rPr>
        <w:t>Coatings</w:t>
      </w:r>
      <w:r w:rsidR="00A051F4" w:rsidRPr="003F600A">
        <w:rPr>
          <w:rFonts w:ascii="Tw Cen MT" w:hAnsi="Tw Cen MT" w:cs="Times New Roman"/>
          <w:sz w:val="18"/>
          <w:szCs w:val="18"/>
        </w:rPr>
        <w:t xml:space="preserve"> 9: 241.</w:t>
      </w:r>
    </w:p>
    <w:p w:rsidR="00AE3E37" w:rsidRPr="00764DD7" w:rsidRDefault="00AE3E37" w:rsidP="008756E6">
      <w:pPr>
        <w:tabs>
          <w:tab w:val="left" w:pos="384"/>
        </w:tabs>
        <w:ind w:right="117"/>
        <w:rPr>
          <w:sz w:val="18"/>
          <w:szCs w:val="18"/>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bidi="hi-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850F4F" w:rsidRDefault="00850F4F" w:rsidP="00404E5B">
      <w:pPr>
        <w:spacing w:before="92"/>
        <w:ind w:right="4234"/>
        <w:rPr>
          <w:noProof/>
        </w:rPr>
      </w:pPr>
      <w:r>
        <w:rPr>
          <w:noProof/>
        </w:rPr>
        <w:t xml:space="preserve">   </w:t>
      </w:r>
      <w:r w:rsidR="008756E6">
        <w:rPr>
          <w:noProof/>
        </w:rPr>
        <w:t xml:space="preserve"> </w:t>
      </w:r>
      <w:r>
        <w:rPr>
          <w:noProof/>
          <w:lang w:val="en-IN" w:eastAsia="en-IN" w:bidi="hi-IN"/>
        </w:rPr>
        <w:drawing>
          <wp:inline distT="0" distB="0" distL="0" distR="0" wp14:anchorId="10B4C1D3" wp14:editId="051CE185">
            <wp:extent cx="480646" cy="716080"/>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82614" cy="719012"/>
                    </a:xfrm>
                    <a:prstGeom prst="rect">
                      <a:avLst/>
                    </a:prstGeom>
                  </pic:spPr>
                </pic:pic>
              </a:graphicData>
            </a:graphic>
          </wp:inline>
        </w:drawing>
      </w:r>
    </w:p>
    <w:p w:rsidR="00AE3E37" w:rsidRDefault="00850F4F"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AE3E37" w:rsidRDefault="00616043">
      <w:pPr>
        <w:spacing w:before="41" w:line="154" w:lineRule="exact"/>
        <w:ind w:left="213" w:right="231"/>
        <w:jc w:val="both"/>
        <w:rPr>
          <w:rFonts w:ascii="Arial"/>
          <w:sz w:val="14"/>
        </w:rPr>
      </w:pPr>
      <w:r w:rsidRPr="00616043">
        <w:rPr>
          <w:rFonts w:ascii="Arial" w:hAnsi="Arial" w:cs="Arial"/>
          <w:sz w:val="14"/>
          <w:szCs w:val="14"/>
        </w:rPr>
        <w:t xml:space="preserve">Dr. </w:t>
      </w:r>
      <w:proofErr w:type="spellStart"/>
      <w:r w:rsidRPr="00616043">
        <w:rPr>
          <w:rFonts w:ascii="Arial" w:hAnsi="Arial" w:cs="Arial"/>
          <w:sz w:val="14"/>
          <w:szCs w:val="14"/>
        </w:rPr>
        <w:t>Sumana</w:t>
      </w:r>
      <w:proofErr w:type="spellEnd"/>
      <w:r w:rsidRPr="00616043">
        <w:rPr>
          <w:rFonts w:ascii="Arial" w:hAnsi="Arial" w:cs="Arial"/>
          <w:sz w:val="14"/>
          <w:szCs w:val="14"/>
        </w:rPr>
        <w:t xml:space="preserve"> </w:t>
      </w:r>
      <w:proofErr w:type="spellStart"/>
      <w:r w:rsidRPr="00616043">
        <w:rPr>
          <w:rFonts w:ascii="Arial" w:hAnsi="Arial" w:cs="Arial"/>
          <w:sz w:val="14"/>
          <w:szCs w:val="14"/>
        </w:rPr>
        <w:t>Ghosh</w:t>
      </w:r>
      <w:proofErr w:type="spellEnd"/>
      <w:r w:rsidRPr="00616043">
        <w:rPr>
          <w:rFonts w:ascii="Arial" w:hAnsi="Arial" w:cs="Arial"/>
          <w:sz w:val="14"/>
          <w:szCs w:val="14"/>
        </w:rPr>
        <w:t xml:space="preserve"> has completed B.E. from IIEST, </w:t>
      </w:r>
      <w:proofErr w:type="spellStart"/>
      <w:r w:rsidRPr="00616043">
        <w:rPr>
          <w:rFonts w:ascii="Arial" w:hAnsi="Arial" w:cs="Arial"/>
          <w:sz w:val="14"/>
          <w:szCs w:val="14"/>
        </w:rPr>
        <w:t>Shibpur</w:t>
      </w:r>
      <w:proofErr w:type="spellEnd"/>
      <w:r w:rsidRPr="00616043">
        <w:rPr>
          <w:rFonts w:ascii="Arial" w:hAnsi="Arial" w:cs="Arial"/>
          <w:sz w:val="14"/>
          <w:szCs w:val="14"/>
        </w:rPr>
        <w:t xml:space="preserve"> and </w:t>
      </w:r>
      <w:proofErr w:type="spellStart"/>
      <w:r w:rsidRPr="00616043">
        <w:rPr>
          <w:rFonts w:ascii="Arial" w:hAnsi="Arial" w:cs="Arial"/>
          <w:sz w:val="14"/>
          <w:szCs w:val="14"/>
        </w:rPr>
        <w:t>M.Tech</w:t>
      </w:r>
      <w:proofErr w:type="spellEnd"/>
      <w:r w:rsidRPr="00616043">
        <w:rPr>
          <w:rFonts w:ascii="Arial" w:hAnsi="Arial" w:cs="Arial"/>
          <w:sz w:val="14"/>
          <w:szCs w:val="14"/>
        </w:rPr>
        <w:t xml:space="preserve">. </w:t>
      </w:r>
      <w:proofErr w:type="gramStart"/>
      <w:r w:rsidRPr="00616043">
        <w:rPr>
          <w:rFonts w:ascii="Arial" w:hAnsi="Arial" w:cs="Arial"/>
          <w:sz w:val="14"/>
          <w:szCs w:val="14"/>
        </w:rPr>
        <w:t>from</w:t>
      </w:r>
      <w:proofErr w:type="gramEnd"/>
      <w:r w:rsidRPr="00616043">
        <w:rPr>
          <w:rFonts w:ascii="Arial" w:hAnsi="Arial" w:cs="Arial"/>
          <w:sz w:val="14"/>
          <w:szCs w:val="14"/>
        </w:rPr>
        <w:t xml:space="preserve"> IIT, </w:t>
      </w:r>
      <w:proofErr w:type="spellStart"/>
      <w:r w:rsidRPr="00616043">
        <w:rPr>
          <w:rFonts w:ascii="Arial" w:hAnsi="Arial" w:cs="Arial"/>
          <w:sz w:val="14"/>
          <w:szCs w:val="14"/>
        </w:rPr>
        <w:t>Kharagpur</w:t>
      </w:r>
      <w:proofErr w:type="spellEnd"/>
      <w:r w:rsidRPr="00616043">
        <w:rPr>
          <w:rFonts w:ascii="Arial" w:hAnsi="Arial" w:cs="Arial"/>
          <w:sz w:val="14"/>
          <w:szCs w:val="14"/>
        </w:rPr>
        <w:t xml:space="preserve">. She has got Ph.D. degree from </w:t>
      </w:r>
      <w:proofErr w:type="spellStart"/>
      <w:r w:rsidRPr="00616043">
        <w:rPr>
          <w:rFonts w:ascii="Arial" w:hAnsi="Arial" w:cs="Arial"/>
          <w:sz w:val="14"/>
          <w:szCs w:val="14"/>
        </w:rPr>
        <w:t>Jadavpur</w:t>
      </w:r>
      <w:proofErr w:type="spellEnd"/>
      <w:r w:rsidRPr="00616043">
        <w:rPr>
          <w:rFonts w:ascii="Arial" w:hAnsi="Arial" w:cs="Arial"/>
          <w:sz w:val="14"/>
          <w:szCs w:val="14"/>
        </w:rPr>
        <w:t xml:space="preserve"> University, Kolkata. Currently, she is the Principal Scientist of CSIR-Central Glass and Ceramic Research Institute (CSIR-CGCRI), a premier research organization in India. She is working in the field of coating, joining and microwave processing of materials. She has published 45 papers in reputed journals. She has published 55 papers </w:t>
      </w:r>
      <w:r w:rsidRPr="00616043">
        <w:rPr>
          <w:rFonts w:ascii="Arial" w:hAnsi="Arial" w:cs="Arial"/>
          <w:bCs/>
          <w:sz w:val="14"/>
          <w:szCs w:val="14"/>
        </w:rPr>
        <w:t>in national and international conference proceedings/ book of abstracts. She has 5 Indian patents and 7 book chapters.</w:t>
      </w:r>
      <w:r w:rsidR="00D40403">
        <w:rPr>
          <w:rFonts w:ascii="Arial" w:hAnsi="Arial" w:cs="Arial"/>
          <w:bCs/>
          <w:sz w:val="14"/>
          <w:szCs w:val="14"/>
        </w:rPr>
        <w:t xml:space="preserve"> </w:t>
      </w:r>
      <w:r w:rsidR="00D40403" w:rsidRPr="00D40403">
        <w:rPr>
          <w:rFonts w:ascii="Arial" w:hAnsi="Arial" w:cs="Arial"/>
          <w:bCs/>
          <w:sz w:val="14"/>
          <w:szCs w:val="14"/>
        </w:rPr>
        <w:t>She has presented 9 lectures as invited speaker.</w:t>
      </w:r>
      <w:r w:rsidR="00A96E08">
        <w:rPr>
          <w:bCs/>
        </w:rPr>
        <w:t xml:space="preserve"> </w:t>
      </w:r>
      <w:r w:rsidRPr="00616043">
        <w:rPr>
          <w:rFonts w:ascii="Arial" w:hAnsi="Arial" w:cs="Arial"/>
          <w:bCs/>
          <w:sz w:val="14"/>
          <w:szCs w:val="14"/>
        </w:rPr>
        <w:t>She is a reviewer of some SCI journals.</w:t>
      </w:r>
      <w:r>
        <w:rPr>
          <w:bCs/>
        </w:rPr>
        <w:t xml:space="preserve"> </w:t>
      </w:r>
    </w:p>
    <w:p w:rsidR="00AE3E37" w:rsidRDefault="00A9710C">
      <w:pPr>
        <w:spacing w:before="62"/>
        <w:ind w:left="4217" w:right="4235"/>
        <w:jc w:val="center"/>
        <w:rPr>
          <w:rFonts w:ascii="Arial"/>
          <w:sz w:val="14"/>
        </w:rPr>
      </w:pPr>
      <w:r>
        <w:rPr>
          <w:rFonts w:ascii="Arial"/>
          <w:sz w:val="14"/>
        </w:rPr>
        <w:t xml:space="preserve">Email: </w:t>
      </w:r>
      <w:hyperlink r:id="rId19" w:history="1">
        <w:r w:rsidR="00616043" w:rsidRPr="005B7D19">
          <w:rPr>
            <w:rStyle w:val="Hyperlink"/>
            <w:rFonts w:ascii="Arial"/>
            <w:sz w:val="14"/>
          </w:rPr>
          <w:t>sumana@cgcri.res.in</w:t>
        </w:r>
      </w:hyperlink>
      <w:r w:rsidR="00616043">
        <w:rPr>
          <w:rFonts w:ascii="Arial"/>
          <w:sz w:val="14"/>
        </w:rPr>
        <w:t xml:space="preserve"> </w:t>
      </w:r>
    </w:p>
    <w:p w:rsidR="00AE3E37" w:rsidRDefault="00292ED9">
      <w:pPr>
        <w:pStyle w:val="BodyText"/>
        <w:spacing w:before="2"/>
        <w:rPr>
          <w:rFonts w:ascii="Arial"/>
          <w:sz w:val="19"/>
        </w:rPr>
      </w:pPr>
      <w:r>
        <w:rPr>
          <w:noProof/>
          <w:lang w:val="en-IN" w:eastAsia="en-IN" w:bidi="hi-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3F600A" w:rsidRDefault="003F600A">
      <w:pPr>
        <w:pStyle w:val="BodyText"/>
        <w:spacing w:before="7"/>
        <w:rPr>
          <w:rFonts w:ascii="Arial"/>
          <w:sz w:val="29"/>
        </w:rPr>
      </w:pPr>
      <w:bookmarkStart w:id="0" w:name="_GoBack"/>
      <w:bookmarkEnd w:id="0"/>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720C" w:rsidRDefault="004A720C">
      <w:r>
        <w:separator/>
      </w:r>
    </w:p>
  </w:endnote>
  <w:endnote w:type="continuationSeparator" w:id="0">
    <w:p w:rsidR="004A720C" w:rsidRDefault="004A7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bidi="hi-IN"/>
      </w:rPr>
      <mc:AlternateContent>
        <mc:Choice Requires="wps">
          <w:drawing>
            <wp:anchor distT="0" distB="0" distL="114300" distR="114300" simplePos="0" relativeHeight="503311928" behindDoc="1" locked="0" layoutInCell="1" allowOverlap="1" wp14:anchorId="5E8C0CCB" wp14:editId="3DD3B82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bidi="hi-IN"/>
      </w:rPr>
      <mc:AlternateContent>
        <mc:Choice Requires="wps">
          <w:drawing>
            <wp:anchor distT="0" distB="0" distL="114300" distR="114300" simplePos="0" relativeHeight="503311952" behindDoc="1" locked="0" layoutInCell="1" allowOverlap="1" wp14:anchorId="7E4C023C" wp14:editId="44FEAAB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bidi="hi-IN"/>
      </w:rPr>
      <mc:AlternateContent>
        <mc:Choice Requires="wps">
          <w:drawing>
            <wp:anchor distT="0" distB="0" distL="114300" distR="114300" simplePos="0" relativeHeight="503311976" behindDoc="1" locked="0" layoutInCell="1" allowOverlap="1" wp14:anchorId="78E8E08F" wp14:editId="18FBCE3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720C" w:rsidRDefault="004A720C">
      <w:r>
        <w:separator/>
      </w:r>
    </w:p>
  </w:footnote>
  <w:footnote w:type="continuationSeparator" w:id="0">
    <w:p w:rsidR="004A720C" w:rsidRDefault="004A72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bidi="hi-IN"/>
      </w:rPr>
      <mc:AlternateContent>
        <mc:Choice Requires="wps">
          <w:drawing>
            <wp:anchor distT="0" distB="0" distL="114300" distR="114300" simplePos="0" relativeHeight="503311880" behindDoc="1" locked="0" layoutInCell="1" allowOverlap="1" wp14:anchorId="5A0F20A9" wp14:editId="1164D8B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bidi="hi-IN"/>
      </w:rPr>
      <mc:AlternateContent>
        <mc:Choice Requires="wps">
          <w:drawing>
            <wp:anchor distT="0" distB="0" distL="114300" distR="114300" simplePos="0" relativeHeight="503311904" behindDoc="1" locked="0" layoutInCell="1" allowOverlap="1" wp14:anchorId="64DA14AE" wp14:editId="1D58464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3FDAF900"/>
    <w:lvl w:ilvl="0" w:tplc="1556D9B0">
      <w:start w:val="1"/>
      <w:numFmt w:val="decimal"/>
      <w:lvlText w:val="%1."/>
      <w:lvlJc w:val="left"/>
      <w:pPr>
        <w:ind w:left="383" w:hanging="284"/>
      </w:pPr>
      <w:rPr>
        <w:rFonts w:ascii="Tw Cen MT" w:eastAsia="Calibri" w:hAnsi="Tw Cen MT"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86B8A"/>
    <w:rsid w:val="000A2D7D"/>
    <w:rsid w:val="000C1F32"/>
    <w:rsid w:val="000E2911"/>
    <w:rsid w:val="000E3D9C"/>
    <w:rsid w:val="000E7B2B"/>
    <w:rsid w:val="001263DF"/>
    <w:rsid w:val="0019126E"/>
    <w:rsid w:val="00206D0C"/>
    <w:rsid w:val="00232678"/>
    <w:rsid w:val="002455EC"/>
    <w:rsid w:val="0028164E"/>
    <w:rsid w:val="00292ED9"/>
    <w:rsid w:val="00293B11"/>
    <w:rsid w:val="003132BC"/>
    <w:rsid w:val="003D00A0"/>
    <w:rsid w:val="003D1786"/>
    <w:rsid w:val="003F600A"/>
    <w:rsid w:val="00404E5B"/>
    <w:rsid w:val="00414F7B"/>
    <w:rsid w:val="004355DC"/>
    <w:rsid w:val="004749B4"/>
    <w:rsid w:val="00494130"/>
    <w:rsid w:val="00494FC8"/>
    <w:rsid w:val="004A0A15"/>
    <w:rsid w:val="004A720C"/>
    <w:rsid w:val="004D21CF"/>
    <w:rsid w:val="004F3523"/>
    <w:rsid w:val="0052219E"/>
    <w:rsid w:val="0053161B"/>
    <w:rsid w:val="005973B9"/>
    <w:rsid w:val="005B3A56"/>
    <w:rsid w:val="006012AA"/>
    <w:rsid w:val="006060CE"/>
    <w:rsid w:val="00616043"/>
    <w:rsid w:val="0063497F"/>
    <w:rsid w:val="00764DD7"/>
    <w:rsid w:val="007D6FE8"/>
    <w:rsid w:val="007E4932"/>
    <w:rsid w:val="007F526C"/>
    <w:rsid w:val="00803E72"/>
    <w:rsid w:val="00850F4F"/>
    <w:rsid w:val="00873DF0"/>
    <w:rsid w:val="008756E6"/>
    <w:rsid w:val="008A08B6"/>
    <w:rsid w:val="008B0813"/>
    <w:rsid w:val="008C2F3A"/>
    <w:rsid w:val="008E02D8"/>
    <w:rsid w:val="009B2D44"/>
    <w:rsid w:val="00A051F4"/>
    <w:rsid w:val="00A07E82"/>
    <w:rsid w:val="00A2280E"/>
    <w:rsid w:val="00A96E08"/>
    <w:rsid w:val="00A9710C"/>
    <w:rsid w:val="00AB4971"/>
    <w:rsid w:val="00AE3E37"/>
    <w:rsid w:val="00B21A57"/>
    <w:rsid w:val="00B7467A"/>
    <w:rsid w:val="00BD7279"/>
    <w:rsid w:val="00C33602"/>
    <w:rsid w:val="00C967BB"/>
    <w:rsid w:val="00CD6F55"/>
    <w:rsid w:val="00CE3AD0"/>
    <w:rsid w:val="00D40403"/>
    <w:rsid w:val="00D85990"/>
    <w:rsid w:val="00DE3104"/>
    <w:rsid w:val="00E00173"/>
    <w:rsid w:val="00E26B10"/>
    <w:rsid w:val="00EA626E"/>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53161B"/>
    <w:pPr>
      <w:widowControl/>
      <w:spacing w:before="100" w:beforeAutospacing="1" w:after="100" w:afterAutospacing="1"/>
    </w:pPr>
    <w:rPr>
      <w:rFonts w:ascii="Times New Roman" w:eastAsiaTheme="minorEastAsia" w:hAnsi="Times New Roman" w:cs="Times New Roman"/>
      <w:sz w:val="24"/>
      <w:szCs w:val="24"/>
      <w:lang w:val="en-IN" w:eastAsia="en-IN" w:bidi="hi-IN"/>
    </w:rPr>
  </w:style>
  <w:style w:type="paragraph" w:styleId="NoSpacing">
    <w:name w:val="No Spacing"/>
    <w:uiPriority w:val="1"/>
    <w:qFormat/>
    <w:rsid w:val="007E4932"/>
    <w:pPr>
      <w:widowControl/>
    </w:pPr>
    <w:rPr>
      <w:rFonts w:eastAsiaTheme="minorEastAsia"/>
      <w:lang w:eastAsia="en-IN"/>
    </w:rPr>
  </w:style>
  <w:style w:type="character" w:customStyle="1" w:styleId="text">
    <w:name w:val="text"/>
    <w:basedOn w:val="DefaultParagraphFont"/>
    <w:rsid w:val="008C2F3A"/>
  </w:style>
  <w:style w:type="character" w:customStyle="1" w:styleId="author-ref">
    <w:name w:val="author-ref"/>
    <w:basedOn w:val="DefaultParagraphFont"/>
    <w:rsid w:val="008C2F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53161B"/>
    <w:pPr>
      <w:widowControl/>
      <w:spacing w:before="100" w:beforeAutospacing="1" w:after="100" w:afterAutospacing="1"/>
    </w:pPr>
    <w:rPr>
      <w:rFonts w:ascii="Times New Roman" w:eastAsiaTheme="minorEastAsia" w:hAnsi="Times New Roman" w:cs="Times New Roman"/>
      <w:sz w:val="24"/>
      <w:szCs w:val="24"/>
      <w:lang w:val="en-IN" w:eastAsia="en-IN" w:bidi="hi-IN"/>
    </w:rPr>
  </w:style>
  <w:style w:type="paragraph" w:styleId="NoSpacing">
    <w:name w:val="No Spacing"/>
    <w:uiPriority w:val="1"/>
    <w:qFormat/>
    <w:rsid w:val="007E4932"/>
    <w:pPr>
      <w:widowControl/>
    </w:pPr>
    <w:rPr>
      <w:rFonts w:eastAsiaTheme="minorEastAsia"/>
      <w:lang w:eastAsia="en-IN"/>
    </w:rPr>
  </w:style>
  <w:style w:type="character" w:customStyle="1" w:styleId="text">
    <w:name w:val="text"/>
    <w:basedOn w:val="DefaultParagraphFont"/>
    <w:rsid w:val="008C2F3A"/>
  </w:style>
  <w:style w:type="character" w:customStyle="1" w:styleId="author-ref">
    <w:name w:val="author-ref"/>
    <w:basedOn w:val="DefaultParagraphFont"/>
    <w:rsid w:val="008C2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ciencedirect.com/science/article/abs/pii/S0257897219310096" TargetMode="External"/><Relationship Id="rId18"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sciencedirect.com/science/article/abs/pii/S0257897219310096" TargetMode="External"/><Relationship Id="rId17" Type="http://schemas.openxmlformats.org/officeDocument/2006/relationships/hyperlink" Target="https://www.sciencedirect.com/science/journal/02578972/378/supp/C" TargetMode="External"/><Relationship Id="rId2" Type="http://schemas.openxmlformats.org/officeDocument/2006/relationships/styles" Target="styles.xml"/><Relationship Id="rId16" Type="http://schemas.openxmlformats.org/officeDocument/2006/relationships/hyperlink" Target="https://www.sciencedirect.com/science/journal/02578972"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sciencedirect.com/science/article/abs/pii/S0257897219310096" TargetMode="External"/><Relationship Id="rId5" Type="http://schemas.openxmlformats.org/officeDocument/2006/relationships/webSettings" Target="webSettings.xml"/><Relationship Id="rId15" Type="http://schemas.openxmlformats.org/officeDocument/2006/relationships/hyperlink" Target="https://www.sciencedirect.com/science/article/abs/pii/S0257897219310096" TargetMode="External"/><Relationship Id="rId10" Type="http://schemas.openxmlformats.org/officeDocument/2006/relationships/image" Target="media/image1.jpeg"/><Relationship Id="rId19" Type="http://schemas.openxmlformats.org/officeDocument/2006/relationships/hyperlink" Target="mailto:sumana@cgcri.res.in"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sciencedirect.com/science/article/abs/pii/S0257897219310096"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1</Pages>
  <Words>675</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 Dutta</cp:lastModifiedBy>
  <cp:revision>47</cp:revision>
  <dcterms:created xsi:type="dcterms:W3CDTF">2020-12-07T05:47:00Z</dcterms:created>
  <dcterms:modified xsi:type="dcterms:W3CDTF">2020-12-07T08:46:00Z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