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2F19" w:rsidRDefault="00D01295" w:rsidP="00C47A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D01295" w:rsidRPr="00D01295" w:rsidRDefault="00D01295" w:rsidP="00C47A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007F9" w:rsidRPr="00D01295" w:rsidRDefault="00EB2F19" w:rsidP="00D0129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1295">
        <w:rPr>
          <w:rFonts w:ascii="Times New Roman" w:hAnsi="Times New Roman" w:cs="Times New Roman"/>
          <w:sz w:val="24"/>
          <w:szCs w:val="24"/>
        </w:rPr>
        <w:t>The efficacy of Mito</w:t>
      </w:r>
      <w:r w:rsidR="00D01295">
        <w:rPr>
          <w:rFonts w:ascii="Times New Roman" w:hAnsi="Times New Roman" w:cs="Times New Roman"/>
          <w:sz w:val="24"/>
          <w:szCs w:val="24"/>
        </w:rPr>
        <w:t>ubiquinol</w:t>
      </w:r>
      <w:r w:rsidRPr="00D01295">
        <w:rPr>
          <w:rFonts w:ascii="Times New Roman" w:hAnsi="Times New Roman" w:cs="Times New Roman"/>
          <w:sz w:val="24"/>
          <w:szCs w:val="24"/>
        </w:rPr>
        <w:t xml:space="preserve"> </w:t>
      </w:r>
      <w:r w:rsidR="00D01295" w:rsidRPr="00D01295">
        <w:rPr>
          <w:rFonts w:ascii="Times New Roman" w:hAnsi="Times New Roman" w:cs="Times New Roman"/>
          <w:sz w:val="24"/>
          <w:szCs w:val="24"/>
        </w:rPr>
        <w:t>Mesylate</w:t>
      </w:r>
      <w:r w:rsidRPr="00D01295">
        <w:rPr>
          <w:rFonts w:ascii="Times New Roman" w:hAnsi="Times New Roman" w:cs="Times New Roman"/>
          <w:sz w:val="24"/>
          <w:szCs w:val="24"/>
        </w:rPr>
        <w:t xml:space="preserve"> (MitoQ) in modulating oxidative stress has been establishe</w:t>
      </w:r>
      <w:r w:rsidR="005C3775" w:rsidRPr="00D01295">
        <w:rPr>
          <w:rFonts w:ascii="Times New Roman" w:hAnsi="Times New Roman" w:cs="Times New Roman"/>
          <w:sz w:val="24"/>
          <w:szCs w:val="24"/>
        </w:rPr>
        <w:t>d in many studies. H</w:t>
      </w:r>
      <w:r w:rsidRPr="00D01295">
        <w:rPr>
          <w:rFonts w:ascii="Times New Roman" w:hAnsi="Times New Roman" w:cs="Times New Roman"/>
          <w:sz w:val="24"/>
          <w:szCs w:val="24"/>
        </w:rPr>
        <w:t xml:space="preserve">owever, the </w:t>
      </w:r>
      <w:r w:rsidR="005C3775" w:rsidRPr="00D01295">
        <w:rPr>
          <w:rFonts w:ascii="Times New Roman" w:hAnsi="Times New Roman" w:cs="Times New Roman"/>
          <w:sz w:val="24"/>
          <w:szCs w:val="24"/>
        </w:rPr>
        <w:t>binding modes for MitoQ</w:t>
      </w:r>
      <w:r w:rsidR="00E7701B">
        <w:rPr>
          <w:rFonts w:ascii="Times New Roman" w:hAnsi="Times New Roman" w:cs="Times New Roman"/>
          <w:sz w:val="24"/>
          <w:szCs w:val="24"/>
        </w:rPr>
        <w:t xml:space="preserve"> have not been characterized structurally</w:t>
      </w:r>
      <w:r w:rsidR="005C3775" w:rsidRPr="00D01295">
        <w:rPr>
          <w:rFonts w:ascii="Times New Roman" w:hAnsi="Times New Roman" w:cs="Times New Roman"/>
          <w:sz w:val="24"/>
          <w:szCs w:val="24"/>
        </w:rPr>
        <w:t xml:space="preserve">. The present study sought to understand the structural and </w:t>
      </w:r>
      <w:r w:rsidRPr="00D01295">
        <w:rPr>
          <w:rFonts w:ascii="Times New Roman" w:hAnsi="Times New Roman" w:cs="Times New Roman"/>
          <w:sz w:val="24"/>
          <w:szCs w:val="24"/>
        </w:rPr>
        <w:t>molecular mechanism by which MitoQ modulates</w:t>
      </w:r>
      <w:r w:rsidR="005C3775" w:rsidRPr="00D01295">
        <w:rPr>
          <w:rFonts w:ascii="Times New Roman" w:hAnsi="Times New Roman" w:cs="Times New Roman"/>
          <w:sz w:val="24"/>
          <w:szCs w:val="24"/>
        </w:rPr>
        <w:t xml:space="preserve"> the expression of Nrf2 and</w:t>
      </w:r>
      <w:r w:rsidRPr="00D01295">
        <w:rPr>
          <w:rFonts w:ascii="Times New Roman" w:hAnsi="Times New Roman" w:cs="Times New Roman"/>
          <w:sz w:val="24"/>
          <w:szCs w:val="24"/>
        </w:rPr>
        <w:t xml:space="preserve"> </w:t>
      </w:r>
      <w:r w:rsidR="005C3775" w:rsidRPr="00D01295">
        <w:rPr>
          <w:rFonts w:ascii="Times New Roman" w:hAnsi="Times New Roman" w:cs="Times New Roman"/>
          <w:sz w:val="24"/>
          <w:szCs w:val="24"/>
        </w:rPr>
        <w:t>mitochondria induced oxidative stress</w:t>
      </w:r>
      <w:r w:rsidRPr="00D01295">
        <w:rPr>
          <w:rFonts w:ascii="Times New Roman" w:hAnsi="Times New Roman" w:cs="Times New Roman"/>
          <w:sz w:val="24"/>
          <w:szCs w:val="24"/>
        </w:rPr>
        <w:t>. Computer molecular simulation</w:t>
      </w:r>
      <w:r w:rsidR="005C3775" w:rsidRPr="00D01295">
        <w:rPr>
          <w:rFonts w:ascii="Times New Roman" w:hAnsi="Times New Roman" w:cs="Times New Roman"/>
          <w:sz w:val="24"/>
          <w:szCs w:val="24"/>
        </w:rPr>
        <w:t>s were</w:t>
      </w:r>
      <w:r w:rsidRPr="00D01295">
        <w:rPr>
          <w:rFonts w:ascii="Times New Roman" w:hAnsi="Times New Roman" w:cs="Times New Roman"/>
          <w:sz w:val="24"/>
          <w:szCs w:val="24"/>
        </w:rPr>
        <w:t xml:space="preserve"> used to predict non-covalent int</w:t>
      </w:r>
      <w:r w:rsidR="005C3775" w:rsidRPr="00D01295">
        <w:rPr>
          <w:rFonts w:ascii="Times New Roman" w:hAnsi="Times New Roman" w:cs="Times New Roman"/>
          <w:sz w:val="24"/>
          <w:szCs w:val="24"/>
        </w:rPr>
        <w:t>eractions</w:t>
      </w:r>
      <w:r w:rsidRPr="00D01295">
        <w:rPr>
          <w:rFonts w:ascii="Times New Roman" w:hAnsi="Times New Roman" w:cs="Times New Roman"/>
          <w:sz w:val="24"/>
          <w:szCs w:val="24"/>
        </w:rPr>
        <w:t xml:space="preserve"> of MitoQ with different proteins involved in the mitochondria induced oxidative stress pathway and Nrf2</w:t>
      </w:r>
      <w:r w:rsidR="00D01295" w:rsidRPr="00D01295">
        <w:rPr>
          <w:rFonts w:ascii="Times New Roman" w:hAnsi="Times New Roman" w:cs="Times New Roman"/>
          <w:sz w:val="24"/>
          <w:szCs w:val="24"/>
        </w:rPr>
        <w:t xml:space="preserve">/KEAP1 signaling pathway. </w:t>
      </w:r>
      <w:r w:rsidRPr="00D01295">
        <w:rPr>
          <w:rFonts w:ascii="Times New Roman" w:hAnsi="Times New Roman" w:cs="Times New Roman"/>
          <w:sz w:val="24"/>
          <w:szCs w:val="24"/>
        </w:rPr>
        <w:t>Analysis of binding modes revealed MitoQ interactions with amino acid residues in active pocket of BTB and KELCH domains of KEA</w:t>
      </w:r>
      <w:r w:rsidR="000E46AC">
        <w:rPr>
          <w:rFonts w:ascii="Times New Roman" w:hAnsi="Times New Roman" w:cs="Times New Roman"/>
          <w:sz w:val="24"/>
          <w:szCs w:val="24"/>
        </w:rPr>
        <w:t>P1 with average binding affinities</w:t>
      </w:r>
      <w:r w:rsidRPr="00D01295">
        <w:rPr>
          <w:rFonts w:ascii="Times New Roman" w:hAnsi="Times New Roman" w:cs="Times New Roman"/>
          <w:sz w:val="24"/>
          <w:szCs w:val="24"/>
        </w:rPr>
        <w:t xml:space="preserve"> of -</w:t>
      </w:r>
      <w:r w:rsidR="001E2CEE" w:rsidRPr="00D01295">
        <w:rPr>
          <w:rFonts w:ascii="Times New Roman" w:hAnsi="Times New Roman" w:cs="Times New Roman"/>
          <w:sz w:val="24"/>
          <w:szCs w:val="24"/>
        </w:rPr>
        <w:t>66.46kcal/mol and -74.74kcal/mol respectively. Also, MitoQ</w:t>
      </w:r>
      <w:r w:rsidR="003007F9" w:rsidRPr="00D01295">
        <w:rPr>
          <w:rFonts w:ascii="Times New Roman" w:hAnsi="Times New Roman" w:cs="Times New Roman"/>
          <w:sz w:val="24"/>
          <w:szCs w:val="24"/>
        </w:rPr>
        <w:t xml:space="preserve"> interacted with Arg31, Asp82, Trp164, and His207 at the active site of </w:t>
      </w:r>
      <w:r w:rsidR="00D01295" w:rsidRPr="00D01295">
        <w:rPr>
          <w:rFonts w:ascii="Times New Roman" w:hAnsi="Times New Roman" w:cs="Times New Roman"/>
          <w:sz w:val="24"/>
          <w:szCs w:val="24"/>
        </w:rPr>
        <w:t xml:space="preserve">Mitochondrial </w:t>
      </w:r>
      <w:r w:rsidR="003007F9" w:rsidRPr="00D01295">
        <w:rPr>
          <w:rFonts w:ascii="Times New Roman" w:hAnsi="Times New Roman" w:cs="Times New Roman"/>
          <w:sz w:val="24"/>
          <w:szCs w:val="24"/>
        </w:rPr>
        <w:t>C</w:t>
      </w:r>
      <w:r w:rsidR="00D01295" w:rsidRPr="00D01295">
        <w:rPr>
          <w:rFonts w:ascii="Times New Roman" w:hAnsi="Times New Roman" w:cs="Times New Roman"/>
          <w:sz w:val="24"/>
          <w:szCs w:val="24"/>
        </w:rPr>
        <w:t xml:space="preserve">omplex </w:t>
      </w:r>
      <w:r w:rsidR="003007F9" w:rsidRPr="00D01295">
        <w:rPr>
          <w:rFonts w:ascii="Times New Roman" w:hAnsi="Times New Roman" w:cs="Times New Roman"/>
          <w:sz w:val="24"/>
          <w:szCs w:val="24"/>
        </w:rPr>
        <w:t>II with a higher average binding affinity of -75.76kcal/mol</w:t>
      </w:r>
      <w:r w:rsidR="001E2CEE" w:rsidRPr="00D01295">
        <w:rPr>
          <w:rFonts w:ascii="Times New Roman" w:hAnsi="Times New Roman" w:cs="Times New Roman"/>
          <w:sz w:val="24"/>
          <w:szCs w:val="24"/>
        </w:rPr>
        <w:t xml:space="preserve"> compared to </w:t>
      </w:r>
      <w:r w:rsidR="003007F9" w:rsidRPr="00D01295">
        <w:rPr>
          <w:rFonts w:ascii="Times New Roman" w:hAnsi="Times New Roman" w:cs="Times New Roman"/>
          <w:sz w:val="24"/>
          <w:szCs w:val="24"/>
        </w:rPr>
        <w:t xml:space="preserve">binding affinity of </w:t>
      </w:r>
      <w:r w:rsidR="001E2CEE" w:rsidRPr="00D01295">
        <w:rPr>
          <w:rFonts w:ascii="Times New Roman" w:hAnsi="Times New Roman" w:cs="Times New Roman"/>
          <w:sz w:val="24"/>
          <w:szCs w:val="24"/>
        </w:rPr>
        <w:t>co-</w:t>
      </w:r>
      <w:r w:rsidR="00D01295" w:rsidRPr="00D01295">
        <w:rPr>
          <w:rFonts w:ascii="Times New Roman" w:hAnsi="Times New Roman" w:cs="Times New Roman"/>
          <w:sz w:val="24"/>
          <w:szCs w:val="24"/>
        </w:rPr>
        <w:t>crystallized</w:t>
      </w:r>
      <w:r w:rsidR="001E2CEE" w:rsidRPr="00D01295">
        <w:rPr>
          <w:rFonts w:ascii="Times New Roman" w:hAnsi="Times New Roman" w:cs="Times New Roman"/>
          <w:sz w:val="24"/>
          <w:szCs w:val="24"/>
        </w:rPr>
        <w:t xml:space="preserve"> ligand of </w:t>
      </w:r>
      <w:r w:rsidR="003007F9" w:rsidRPr="00D01295">
        <w:rPr>
          <w:rFonts w:ascii="Times New Roman" w:hAnsi="Times New Roman" w:cs="Times New Roman"/>
          <w:sz w:val="24"/>
          <w:szCs w:val="24"/>
        </w:rPr>
        <w:t>complex II (-62.31 kcal/mol).</w:t>
      </w:r>
      <w:r w:rsidR="00D01295" w:rsidRPr="00D01295">
        <w:rPr>
          <w:rFonts w:ascii="Times New Roman" w:hAnsi="Times New Roman" w:cs="Times New Roman"/>
          <w:sz w:val="24"/>
          <w:szCs w:val="24"/>
        </w:rPr>
        <w:t xml:space="preserve"> </w:t>
      </w:r>
      <w:r w:rsidR="003007F9" w:rsidRPr="00D01295">
        <w:rPr>
          <w:rFonts w:ascii="Times New Roman" w:hAnsi="Times New Roman" w:cs="Times New Roman"/>
          <w:sz w:val="24"/>
          <w:szCs w:val="24"/>
        </w:rPr>
        <w:t>M</w:t>
      </w:r>
      <w:r w:rsidR="00B85A79">
        <w:rPr>
          <w:rFonts w:ascii="Times New Roman" w:hAnsi="Times New Roman" w:cs="Times New Roman"/>
          <w:sz w:val="24"/>
          <w:szCs w:val="24"/>
        </w:rPr>
        <w:t>olecular dynamics simulations</w:t>
      </w:r>
      <w:r w:rsidR="003007F9" w:rsidRPr="00D01295">
        <w:rPr>
          <w:rFonts w:ascii="Times New Roman" w:hAnsi="Times New Roman" w:cs="Times New Roman"/>
          <w:sz w:val="24"/>
          <w:szCs w:val="24"/>
        </w:rPr>
        <w:t xml:space="preserve"> data showed t</w:t>
      </w:r>
      <w:r w:rsidR="00B85A79">
        <w:rPr>
          <w:rFonts w:ascii="Times New Roman" w:hAnsi="Times New Roman" w:cs="Times New Roman"/>
          <w:sz w:val="24"/>
          <w:szCs w:val="24"/>
        </w:rPr>
        <w:t>he binding of MitoQ</w:t>
      </w:r>
      <w:r w:rsidR="003007F9" w:rsidRPr="00D01295">
        <w:rPr>
          <w:rFonts w:ascii="Times New Roman" w:hAnsi="Times New Roman" w:cs="Times New Roman"/>
          <w:sz w:val="24"/>
          <w:szCs w:val="24"/>
        </w:rPr>
        <w:t xml:space="preserve"> to be stable with low eigenvalues while the electronic properties of MitoQ </w:t>
      </w:r>
      <w:r w:rsidR="005C3775" w:rsidRPr="00D01295">
        <w:rPr>
          <w:rFonts w:ascii="Times New Roman" w:hAnsi="Times New Roman" w:cs="Times New Roman"/>
          <w:sz w:val="24"/>
          <w:szCs w:val="24"/>
        </w:rPr>
        <w:t>derived via quantum mechanics calculations suggest MitoQ to be very reactive with its mechanism of chemical reactivity to be via electrophilic reactions. These structural and molecular interactions of MitoQ predict a possible mechanism of MitoQ biological activities that are observed in several studies.</w:t>
      </w:r>
    </w:p>
    <w:sectPr w:rsidR="003007F9" w:rsidRPr="00D01295" w:rsidSect="00A675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7069A"/>
    <w:rsid w:val="000E46AC"/>
    <w:rsid w:val="001E2CEE"/>
    <w:rsid w:val="0028394E"/>
    <w:rsid w:val="003007F9"/>
    <w:rsid w:val="0047069A"/>
    <w:rsid w:val="004A38E5"/>
    <w:rsid w:val="005C3775"/>
    <w:rsid w:val="006D3E25"/>
    <w:rsid w:val="007A725B"/>
    <w:rsid w:val="008254A7"/>
    <w:rsid w:val="008A4AF2"/>
    <w:rsid w:val="0098298C"/>
    <w:rsid w:val="00A47A8F"/>
    <w:rsid w:val="00A67558"/>
    <w:rsid w:val="00AB5F49"/>
    <w:rsid w:val="00B85A79"/>
    <w:rsid w:val="00C47A3A"/>
    <w:rsid w:val="00C866AC"/>
    <w:rsid w:val="00D01295"/>
    <w:rsid w:val="00E7701B"/>
    <w:rsid w:val="00EB2F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75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IDB CUAB 10</dc:creator>
  <cp:lastModifiedBy>IDB CUAB 10</cp:lastModifiedBy>
  <cp:revision>2</cp:revision>
  <dcterms:created xsi:type="dcterms:W3CDTF">2021-02-05T21:42:00Z</dcterms:created>
  <dcterms:modified xsi:type="dcterms:W3CDTF">2021-02-05T21:42:00Z</dcterms:modified>
</cp:coreProperties>
</file>