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512A56" w:rsidRPr="00512A56">
        <w:rPr>
          <w:b/>
          <w:bCs/>
          <w:sz w:val="22"/>
          <w:szCs w:val="22"/>
        </w:rPr>
        <w:t>Solventless synthesis of antimony sulfide, bismuth sulfide, and antimony-bismuth sulfide solid solutions using novel single source route</w:t>
      </w:r>
    </w:p>
    <w:p w:rsidR="0005164C" w:rsidRPr="009D49B8" w:rsidRDefault="0005164C" w:rsidP="003C0794">
      <w:pPr>
        <w:jc w:val="both"/>
        <w:rPr>
          <w:rFonts w:eastAsia="MS PGothic"/>
          <w:color w:val="000000"/>
          <w:sz w:val="22"/>
          <w:szCs w:val="22"/>
        </w:rPr>
      </w:pPr>
    </w:p>
    <w:p w:rsidR="00512A56" w:rsidRPr="00512A56" w:rsidRDefault="00512A56" w:rsidP="00512A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left"/>
        <w:rPr>
          <w:sz w:val="19"/>
          <w:szCs w:val="19"/>
        </w:rPr>
      </w:pPr>
      <w:r w:rsidRPr="00512A56">
        <w:rPr>
          <w:sz w:val="19"/>
          <w:szCs w:val="19"/>
        </w:rPr>
        <w:t>Tahani Alqahtani,</w:t>
      </w:r>
      <w:r w:rsidRPr="00512A56">
        <w:rPr>
          <w:sz w:val="19"/>
          <w:szCs w:val="19"/>
          <w:vertAlign w:val="superscript"/>
        </w:rPr>
        <w:t>1</w:t>
      </w:r>
      <w:r w:rsidRPr="00512A56">
        <w:rPr>
          <w:sz w:val="19"/>
          <w:szCs w:val="19"/>
        </w:rPr>
        <w:t xml:space="preserve"> Malik Dilshad Khan,</w:t>
      </w:r>
      <w:r w:rsidRPr="00512A56">
        <w:rPr>
          <w:sz w:val="19"/>
          <w:szCs w:val="19"/>
          <w:vertAlign w:val="superscript"/>
        </w:rPr>
        <w:t>2</w:t>
      </w:r>
      <w:r w:rsidRPr="00512A56">
        <w:rPr>
          <w:sz w:val="19"/>
          <w:szCs w:val="19"/>
        </w:rPr>
        <w:t xml:space="preserve"> Paul O’Brien</w:t>
      </w:r>
      <w:r w:rsidRPr="00512A56">
        <w:rPr>
          <w:sz w:val="19"/>
          <w:szCs w:val="19"/>
          <w:vertAlign w:val="superscript"/>
        </w:rPr>
        <w:t>1,2</w:t>
      </w:r>
    </w:p>
    <w:p w:rsidR="00512A56" w:rsidRPr="00512A56" w:rsidRDefault="00512A56" w:rsidP="00512A56">
      <w:pPr>
        <w:pStyle w:val="NoSpacing"/>
        <w:rPr>
          <w:rFonts w:ascii="Times New Roman" w:hAnsi="Times New Roman"/>
          <w:sz w:val="19"/>
          <w:szCs w:val="19"/>
        </w:rPr>
      </w:pPr>
      <w:r w:rsidRPr="00512A56">
        <w:rPr>
          <w:rFonts w:ascii="Times New Roman" w:hAnsi="Times New Roman"/>
          <w:iCs/>
          <w:spacing w:val="7"/>
          <w:sz w:val="19"/>
          <w:szCs w:val="19"/>
          <w:vertAlign w:val="superscript"/>
        </w:rPr>
        <w:t>1</w:t>
      </w:r>
      <w:r w:rsidRPr="00512A56">
        <w:rPr>
          <w:rFonts w:ascii="Times New Roman" w:hAnsi="Times New Roman"/>
          <w:iCs/>
          <w:spacing w:val="7"/>
          <w:sz w:val="19"/>
          <w:szCs w:val="19"/>
        </w:rPr>
        <w:t>S</w:t>
      </w:r>
      <w:r w:rsidRPr="00512A56">
        <w:rPr>
          <w:rFonts w:ascii="Times New Roman" w:hAnsi="Times New Roman"/>
          <w:iCs/>
          <w:spacing w:val="-5"/>
          <w:sz w:val="19"/>
          <w:szCs w:val="19"/>
        </w:rPr>
        <w:t>c</w:t>
      </w:r>
      <w:r w:rsidRPr="00512A56">
        <w:rPr>
          <w:rFonts w:ascii="Times New Roman" w:hAnsi="Times New Roman"/>
          <w:iCs/>
          <w:spacing w:val="-2"/>
          <w:sz w:val="19"/>
          <w:szCs w:val="19"/>
        </w:rPr>
        <w:t>h</w:t>
      </w:r>
      <w:r w:rsidRPr="00512A56">
        <w:rPr>
          <w:rFonts w:ascii="Times New Roman" w:hAnsi="Times New Roman"/>
          <w:iCs/>
          <w:spacing w:val="3"/>
          <w:sz w:val="19"/>
          <w:szCs w:val="19"/>
        </w:rPr>
        <w:t>oo</w:t>
      </w:r>
      <w:r w:rsidRPr="00512A56">
        <w:rPr>
          <w:rFonts w:ascii="Times New Roman" w:hAnsi="Times New Roman"/>
          <w:iCs/>
          <w:sz w:val="19"/>
          <w:szCs w:val="19"/>
        </w:rPr>
        <w:t>l</w:t>
      </w:r>
      <w:r w:rsidRPr="00512A56">
        <w:rPr>
          <w:rFonts w:ascii="Times New Roman" w:hAnsi="Times New Roman"/>
          <w:iCs/>
          <w:spacing w:val="13"/>
          <w:sz w:val="19"/>
          <w:szCs w:val="19"/>
        </w:rPr>
        <w:t xml:space="preserve"> </w:t>
      </w:r>
      <w:r w:rsidRPr="00512A56">
        <w:rPr>
          <w:rFonts w:ascii="Times New Roman" w:hAnsi="Times New Roman"/>
          <w:iCs/>
          <w:spacing w:val="3"/>
          <w:sz w:val="19"/>
          <w:szCs w:val="19"/>
        </w:rPr>
        <w:t>o</w:t>
      </w:r>
      <w:r w:rsidRPr="00512A56">
        <w:rPr>
          <w:rFonts w:ascii="Times New Roman" w:hAnsi="Times New Roman"/>
          <w:iCs/>
          <w:sz w:val="19"/>
          <w:szCs w:val="19"/>
        </w:rPr>
        <w:t>f Materials,</w:t>
      </w:r>
      <w:r w:rsidRPr="00512A56">
        <w:rPr>
          <w:rFonts w:ascii="Times New Roman" w:hAnsi="Times New Roman"/>
          <w:iCs/>
          <w:spacing w:val="22"/>
          <w:sz w:val="19"/>
          <w:szCs w:val="19"/>
        </w:rPr>
        <w:t xml:space="preserve"> </w:t>
      </w:r>
      <w:r w:rsidRPr="00512A56">
        <w:rPr>
          <w:rFonts w:ascii="Times New Roman" w:hAnsi="Times New Roman"/>
          <w:iCs/>
          <w:spacing w:val="-6"/>
          <w:sz w:val="19"/>
          <w:szCs w:val="19"/>
        </w:rPr>
        <w:t>T</w:t>
      </w:r>
      <w:r w:rsidRPr="00512A56">
        <w:rPr>
          <w:rFonts w:ascii="Times New Roman" w:hAnsi="Times New Roman"/>
          <w:iCs/>
          <w:spacing w:val="7"/>
          <w:sz w:val="19"/>
          <w:szCs w:val="19"/>
        </w:rPr>
        <w:t>h</w:t>
      </w:r>
      <w:r w:rsidRPr="00512A56">
        <w:rPr>
          <w:rFonts w:ascii="Times New Roman" w:hAnsi="Times New Roman"/>
          <w:iCs/>
          <w:sz w:val="19"/>
          <w:szCs w:val="19"/>
        </w:rPr>
        <w:t>e</w:t>
      </w:r>
      <w:r w:rsidRPr="00512A56">
        <w:rPr>
          <w:rFonts w:ascii="Times New Roman" w:hAnsi="Times New Roman"/>
          <w:iCs/>
          <w:spacing w:val="2"/>
          <w:sz w:val="19"/>
          <w:szCs w:val="19"/>
        </w:rPr>
        <w:t xml:space="preserve"> U</w:t>
      </w:r>
      <w:r w:rsidRPr="00512A56">
        <w:rPr>
          <w:rFonts w:ascii="Times New Roman" w:hAnsi="Times New Roman"/>
          <w:iCs/>
          <w:spacing w:val="7"/>
          <w:sz w:val="19"/>
          <w:szCs w:val="19"/>
        </w:rPr>
        <w:t>n</w:t>
      </w:r>
      <w:r w:rsidRPr="00512A56">
        <w:rPr>
          <w:rFonts w:ascii="Times New Roman" w:hAnsi="Times New Roman"/>
          <w:iCs/>
          <w:spacing w:val="-6"/>
          <w:sz w:val="19"/>
          <w:szCs w:val="19"/>
        </w:rPr>
        <w:t>i</w:t>
      </w:r>
      <w:r w:rsidRPr="00512A56">
        <w:rPr>
          <w:rFonts w:ascii="Times New Roman" w:hAnsi="Times New Roman"/>
          <w:iCs/>
          <w:spacing w:val="-1"/>
          <w:sz w:val="19"/>
          <w:szCs w:val="19"/>
        </w:rPr>
        <w:t>ve</w:t>
      </w:r>
      <w:r w:rsidRPr="00512A56">
        <w:rPr>
          <w:rFonts w:ascii="Times New Roman" w:hAnsi="Times New Roman"/>
          <w:iCs/>
          <w:sz w:val="19"/>
          <w:szCs w:val="19"/>
        </w:rPr>
        <w:t>r</w:t>
      </w:r>
      <w:r w:rsidRPr="00512A56">
        <w:rPr>
          <w:rFonts w:ascii="Times New Roman" w:hAnsi="Times New Roman"/>
          <w:iCs/>
          <w:spacing w:val="-4"/>
          <w:sz w:val="19"/>
          <w:szCs w:val="19"/>
        </w:rPr>
        <w:t>s</w:t>
      </w:r>
      <w:r w:rsidRPr="00512A56">
        <w:rPr>
          <w:rFonts w:ascii="Times New Roman" w:hAnsi="Times New Roman"/>
          <w:iCs/>
          <w:spacing w:val="3"/>
          <w:sz w:val="19"/>
          <w:szCs w:val="19"/>
        </w:rPr>
        <w:t>i</w:t>
      </w:r>
      <w:r w:rsidRPr="00512A56">
        <w:rPr>
          <w:rFonts w:ascii="Times New Roman" w:hAnsi="Times New Roman"/>
          <w:iCs/>
          <w:spacing w:val="-2"/>
          <w:sz w:val="19"/>
          <w:szCs w:val="19"/>
        </w:rPr>
        <w:t>t</w:t>
      </w:r>
      <w:r w:rsidRPr="00512A56">
        <w:rPr>
          <w:rFonts w:ascii="Times New Roman" w:hAnsi="Times New Roman"/>
          <w:iCs/>
          <w:sz w:val="19"/>
          <w:szCs w:val="19"/>
        </w:rPr>
        <w:t>y</w:t>
      </w:r>
      <w:r w:rsidRPr="00512A56">
        <w:rPr>
          <w:rFonts w:ascii="Times New Roman" w:hAnsi="Times New Roman"/>
          <w:iCs/>
          <w:spacing w:val="19"/>
          <w:sz w:val="19"/>
          <w:szCs w:val="19"/>
        </w:rPr>
        <w:t xml:space="preserve"> </w:t>
      </w:r>
      <w:r w:rsidRPr="00512A56">
        <w:rPr>
          <w:rFonts w:ascii="Times New Roman" w:hAnsi="Times New Roman"/>
          <w:iCs/>
          <w:spacing w:val="7"/>
          <w:sz w:val="19"/>
          <w:szCs w:val="19"/>
        </w:rPr>
        <w:t>o</w:t>
      </w:r>
      <w:r w:rsidRPr="00512A56">
        <w:rPr>
          <w:rFonts w:ascii="Times New Roman" w:hAnsi="Times New Roman"/>
          <w:iCs/>
          <w:sz w:val="19"/>
          <w:szCs w:val="19"/>
        </w:rPr>
        <w:t>f</w:t>
      </w:r>
      <w:r w:rsidRPr="00512A56">
        <w:rPr>
          <w:rFonts w:ascii="Times New Roman" w:hAnsi="Times New Roman"/>
          <w:iCs/>
          <w:spacing w:val="3"/>
          <w:sz w:val="19"/>
          <w:szCs w:val="19"/>
        </w:rPr>
        <w:t xml:space="preserve"> </w:t>
      </w:r>
      <w:r w:rsidRPr="00512A56">
        <w:rPr>
          <w:rFonts w:ascii="Times New Roman" w:hAnsi="Times New Roman"/>
          <w:iCs/>
          <w:sz w:val="19"/>
          <w:szCs w:val="19"/>
        </w:rPr>
        <w:t>M</w:t>
      </w:r>
      <w:r w:rsidRPr="00512A56">
        <w:rPr>
          <w:rFonts w:ascii="Times New Roman" w:hAnsi="Times New Roman"/>
          <w:iCs/>
          <w:spacing w:val="-2"/>
          <w:sz w:val="19"/>
          <w:szCs w:val="19"/>
        </w:rPr>
        <w:t>a</w:t>
      </w:r>
      <w:r w:rsidRPr="00512A56">
        <w:rPr>
          <w:rFonts w:ascii="Times New Roman" w:hAnsi="Times New Roman"/>
          <w:iCs/>
          <w:spacing w:val="7"/>
          <w:sz w:val="19"/>
          <w:szCs w:val="19"/>
        </w:rPr>
        <w:t>n</w:t>
      </w:r>
      <w:r w:rsidRPr="00512A56">
        <w:rPr>
          <w:rFonts w:ascii="Times New Roman" w:hAnsi="Times New Roman"/>
          <w:iCs/>
          <w:spacing w:val="-10"/>
          <w:sz w:val="19"/>
          <w:szCs w:val="19"/>
        </w:rPr>
        <w:t>c</w:t>
      </w:r>
      <w:r w:rsidRPr="00512A56">
        <w:rPr>
          <w:rFonts w:ascii="Times New Roman" w:hAnsi="Times New Roman"/>
          <w:iCs/>
          <w:spacing w:val="7"/>
          <w:sz w:val="19"/>
          <w:szCs w:val="19"/>
        </w:rPr>
        <w:t>h</w:t>
      </w:r>
      <w:r w:rsidRPr="00512A56">
        <w:rPr>
          <w:rFonts w:ascii="Times New Roman" w:hAnsi="Times New Roman"/>
          <w:iCs/>
          <w:spacing w:val="-5"/>
          <w:sz w:val="19"/>
          <w:szCs w:val="19"/>
        </w:rPr>
        <w:t>e</w:t>
      </w:r>
      <w:r w:rsidRPr="00512A56">
        <w:rPr>
          <w:rFonts w:ascii="Times New Roman" w:hAnsi="Times New Roman"/>
          <w:iCs/>
          <w:sz w:val="19"/>
          <w:szCs w:val="19"/>
        </w:rPr>
        <w:t>s</w:t>
      </w:r>
      <w:r w:rsidRPr="00512A56">
        <w:rPr>
          <w:rFonts w:ascii="Times New Roman" w:hAnsi="Times New Roman"/>
          <w:iCs/>
          <w:spacing w:val="-2"/>
          <w:sz w:val="19"/>
          <w:szCs w:val="19"/>
        </w:rPr>
        <w:t>t</w:t>
      </w:r>
      <w:r w:rsidRPr="00512A56">
        <w:rPr>
          <w:rFonts w:ascii="Times New Roman" w:hAnsi="Times New Roman"/>
          <w:iCs/>
          <w:spacing w:val="-5"/>
          <w:sz w:val="19"/>
          <w:szCs w:val="19"/>
        </w:rPr>
        <w:t>e</w:t>
      </w:r>
      <w:r w:rsidRPr="00512A56">
        <w:rPr>
          <w:rFonts w:ascii="Times New Roman" w:hAnsi="Times New Roman"/>
          <w:iCs/>
          <w:sz w:val="19"/>
          <w:szCs w:val="19"/>
        </w:rPr>
        <w:t>r,</w:t>
      </w:r>
      <w:r w:rsidRPr="00512A56">
        <w:rPr>
          <w:rFonts w:ascii="Times New Roman" w:hAnsi="Times New Roman"/>
          <w:iCs/>
          <w:spacing w:val="28"/>
          <w:sz w:val="19"/>
          <w:szCs w:val="19"/>
        </w:rPr>
        <w:t xml:space="preserve"> </w:t>
      </w:r>
      <w:r w:rsidRPr="00512A56">
        <w:rPr>
          <w:rFonts w:ascii="Times New Roman" w:hAnsi="Times New Roman"/>
          <w:iCs/>
          <w:spacing w:val="2"/>
          <w:sz w:val="19"/>
          <w:szCs w:val="19"/>
        </w:rPr>
        <w:t>O</w:t>
      </w:r>
      <w:r w:rsidRPr="00512A56">
        <w:rPr>
          <w:rFonts w:ascii="Times New Roman" w:hAnsi="Times New Roman"/>
          <w:iCs/>
          <w:spacing w:val="-1"/>
          <w:sz w:val="19"/>
          <w:szCs w:val="19"/>
        </w:rPr>
        <w:t>x</w:t>
      </w:r>
      <w:r w:rsidRPr="00512A56">
        <w:rPr>
          <w:rFonts w:ascii="Times New Roman" w:hAnsi="Times New Roman"/>
          <w:iCs/>
          <w:spacing w:val="3"/>
          <w:sz w:val="19"/>
          <w:szCs w:val="19"/>
        </w:rPr>
        <w:t>fo</w:t>
      </w:r>
      <w:r w:rsidRPr="00512A56">
        <w:rPr>
          <w:rFonts w:ascii="Times New Roman" w:hAnsi="Times New Roman"/>
          <w:iCs/>
          <w:spacing w:val="-4"/>
          <w:sz w:val="19"/>
          <w:szCs w:val="19"/>
        </w:rPr>
        <w:t>r</w:t>
      </w:r>
      <w:r w:rsidRPr="00512A56">
        <w:rPr>
          <w:rFonts w:ascii="Times New Roman" w:hAnsi="Times New Roman"/>
          <w:iCs/>
          <w:sz w:val="19"/>
          <w:szCs w:val="19"/>
        </w:rPr>
        <w:t>d</w:t>
      </w:r>
      <w:r w:rsidRPr="00512A56">
        <w:rPr>
          <w:rFonts w:ascii="Times New Roman" w:hAnsi="Times New Roman"/>
          <w:iCs/>
          <w:spacing w:val="19"/>
          <w:sz w:val="19"/>
          <w:szCs w:val="19"/>
        </w:rPr>
        <w:t xml:space="preserve"> </w:t>
      </w:r>
      <w:r w:rsidRPr="00512A56">
        <w:rPr>
          <w:rFonts w:ascii="Times New Roman" w:hAnsi="Times New Roman"/>
          <w:iCs/>
          <w:spacing w:val="-9"/>
          <w:sz w:val="19"/>
          <w:szCs w:val="19"/>
        </w:rPr>
        <w:t>R</w:t>
      </w:r>
      <w:r w:rsidRPr="00512A56">
        <w:rPr>
          <w:rFonts w:ascii="Times New Roman" w:hAnsi="Times New Roman"/>
          <w:iCs/>
          <w:spacing w:val="3"/>
          <w:sz w:val="19"/>
          <w:szCs w:val="19"/>
        </w:rPr>
        <w:t>o</w:t>
      </w:r>
      <w:r w:rsidRPr="00512A56">
        <w:rPr>
          <w:rFonts w:ascii="Times New Roman" w:hAnsi="Times New Roman"/>
          <w:iCs/>
          <w:spacing w:val="-2"/>
          <w:sz w:val="19"/>
          <w:szCs w:val="19"/>
        </w:rPr>
        <w:t>a</w:t>
      </w:r>
      <w:r w:rsidRPr="00512A56">
        <w:rPr>
          <w:rFonts w:ascii="Times New Roman" w:hAnsi="Times New Roman"/>
          <w:iCs/>
          <w:spacing w:val="7"/>
          <w:sz w:val="19"/>
          <w:szCs w:val="19"/>
        </w:rPr>
        <w:t>d</w:t>
      </w:r>
      <w:r w:rsidRPr="00512A56">
        <w:rPr>
          <w:rFonts w:ascii="Times New Roman" w:hAnsi="Times New Roman"/>
          <w:iCs/>
          <w:sz w:val="19"/>
          <w:szCs w:val="19"/>
        </w:rPr>
        <w:t>,</w:t>
      </w:r>
      <w:r w:rsidRPr="00512A56">
        <w:rPr>
          <w:rFonts w:ascii="Times New Roman" w:hAnsi="Times New Roman"/>
          <w:iCs/>
          <w:spacing w:val="7"/>
          <w:sz w:val="19"/>
          <w:szCs w:val="19"/>
        </w:rPr>
        <w:t xml:space="preserve"> </w:t>
      </w:r>
      <w:r w:rsidRPr="00512A56">
        <w:rPr>
          <w:rFonts w:ascii="Times New Roman" w:hAnsi="Times New Roman"/>
          <w:iCs/>
          <w:spacing w:val="1"/>
          <w:w w:val="103"/>
          <w:sz w:val="19"/>
          <w:szCs w:val="19"/>
        </w:rPr>
        <w:t>Manchester</w:t>
      </w:r>
      <w:r w:rsidRPr="00512A56">
        <w:rPr>
          <w:rFonts w:ascii="Times New Roman" w:hAnsi="Times New Roman"/>
          <w:iCs/>
          <w:spacing w:val="-5"/>
          <w:sz w:val="19"/>
          <w:szCs w:val="19"/>
        </w:rPr>
        <w:t>, M</w:t>
      </w:r>
      <w:r w:rsidRPr="00512A56">
        <w:rPr>
          <w:rFonts w:ascii="Times New Roman" w:hAnsi="Times New Roman"/>
          <w:iCs/>
          <w:spacing w:val="3"/>
          <w:sz w:val="19"/>
          <w:szCs w:val="19"/>
        </w:rPr>
        <w:t>1</w:t>
      </w:r>
      <w:r w:rsidRPr="00512A56">
        <w:rPr>
          <w:rFonts w:ascii="Times New Roman" w:hAnsi="Times New Roman"/>
          <w:iCs/>
          <w:sz w:val="19"/>
          <w:szCs w:val="19"/>
        </w:rPr>
        <w:t>3</w:t>
      </w:r>
      <w:r w:rsidRPr="00512A56">
        <w:rPr>
          <w:rFonts w:ascii="Times New Roman" w:hAnsi="Times New Roman"/>
          <w:iCs/>
          <w:spacing w:val="8"/>
          <w:sz w:val="19"/>
          <w:szCs w:val="19"/>
        </w:rPr>
        <w:t xml:space="preserve"> </w:t>
      </w:r>
      <w:r w:rsidRPr="00512A56">
        <w:rPr>
          <w:rFonts w:ascii="Times New Roman" w:hAnsi="Times New Roman"/>
          <w:iCs/>
          <w:spacing w:val="3"/>
          <w:w w:val="103"/>
          <w:sz w:val="19"/>
          <w:szCs w:val="19"/>
        </w:rPr>
        <w:t>9</w:t>
      </w:r>
      <w:r w:rsidRPr="00512A56">
        <w:rPr>
          <w:rFonts w:ascii="Times New Roman" w:hAnsi="Times New Roman"/>
          <w:iCs/>
          <w:w w:val="103"/>
          <w:sz w:val="19"/>
          <w:szCs w:val="19"/>
        </w:rPr>
        <w:t>P</w:t>
      </w:r>
      <w:r w:rsidRPr="00512A56">
        <w:rPr>
          <w:rFonts w:ascii="Times New Roman" w:hAnsi="Times New Roman"/>
          <w:iCs/>
          <w:spacing w:val="1"/>
          <w:w w:val="103"/>
          <w:sz w:val="19"/>
          <w:szCs w:val="19"/>
        </w:rPr>
        <w:t>L, UK</w:t>
      </w:r>
      <w:r w:rsidRPr="00512A56">
        <w:rPr>
          <w:rFonts w:ascii="Times New Roman" w:hAnsi="Times New Roman"/>
          <w:sz w:val="19"/>
          <w:szCs w:val="19"/>
        </w:rPr>
        <w:t>.</w:t>
      </w:r>
    </w:p>
    <w:p w:rsidR="00512A56" w:rsidRPr="00512A56" w:rsidRDefault="00512A56" w:rsidP="00512A56">
      <w:pPr>
        <w:pStyle w:val="NoSpacing"/>
        <w:rPr>
          <w:rFonts w:ascii="Times New Roman" w:hAnsi="Times New Roman"/>
          <w:sz w:val="19"/>
          <w:szCs w:val="19"/>
        </w:rPr>
      </w:pPr>
      <w:r w:rsidRPr="00512A56">
        <w:rPr>
          <w:rFonts w:ascii="Times New Roman" w:hAnsi="Times New Roman"/>
          <w:iCs/>
          <w:spacing w:val="7"/>
          <w:sz w:val="19"/>
          <w:szCs w:val="19"/>
          <w:vertAlign w:val="superscript"/>
        </w:rPr>
        <w:t>2</w:t>
      </w:r>
      <w:r w:rsidRPr="00512A56">
        <w:rPr>
          <w:rFonts w:ascii="Times New Roman" w:hAnsi="Times New Roman"/>
          <w:iCs/>
          <w:sz w:val="19"/>
          <w:szCs w:val="19"/>
        </w:rPr>
        <w:t>School of Chemistry,</w:t>
      </w:r>
      <w:r w:rsidRPr="00512A56">
        <w:rPr>
          <w:rFonts w:ascii="Times New Roman" w:hAnsi="Times New Roman"/>
          <w:iCs/>
          <w:spacing w:val="22"/>
          <w:sz w:val="19"/>
          <w:szCs w:val="19"/>
        </w:rPr>
        <w:t xml:space="preserve"> </w:t>
      </w:r>
      <w:r w:rsidRPr="00512A56">
        <w:rPr>
          <w:rFonts w:ascii="Times New Roman" w:hAnsi="Times New Roman"/>
          <w:iCs/>
          <w:spacing w:val="-6"/>
          <w:sz w:val="19"/>
          <w:szCs w:val="19"/>
        </w:rPr>
        <w:t>T</w:t>
      </w:r>
      <w:r w:rsidRPr="00512A56">
        <w:rPr>
          <w:rFonts w:ascii="Times New Roman" w:hAnsi="Times New Roman"/>
          <w:iCs/>
          <w:spacing w:val="7"/>
          <w:sz w:val="19"/>
          <w:szCs w:val="19"/>
        </w:rPr>
        <w:t>h</w:t>
      </w:r>
      <w:r w:rsidRPr="00512A56">
        <w:rPr>
          <w:rFonts w:ascii="Times New Roman" w:hAnsi="Times New Roman"/>
          <w:iCs/>
          <w:sz w:val="19"/>
          <w:szCs w:val="19"/>
        </w:rPr>
        <w:t>e</w:t>
      </w:r>
      <w:r w:rsidRPr="00512A56">
        <w:rPr>
          <w:rFonts w:ascii="Times New Roman" w:hAnsi="Times New Roman"/>
          <w:iCs/>
          <w:spacing w:val="2"/>
          <w:sz w:val="19"/>
          <w:szCs w:val="19"/>
        </w:rPr>
        <w:t xml:space="preserve"> U</w:t>
      </w:r>
      <w:r w:rsidRPr="00512A56">
        <w:rPr>
          <w:rFonts w:ascii="Times New Roman" w:hAnsi="Times New Roman"/>
          <w:iCs/>
          <w:spacing w:val="7"/>
          <w:sz w:val="19"/>
          <w:szCs w:val="19"/>
        </w:rPr>
        <w:t>n</w:t>
      </w:r>
      <w:r w:rsidRPr="00512A56">
        <w:rPr>
          <w:rFonts w:ascii="Times New Roman" w:hAnsi="Times New Roman"/>
          <w:iCs/>
          <w:spacing w:val="-6"/>
          <w:sz w:val="19"/>
          <w:szCs w:val="19"/>
        </w:rPr>
        <w:t>i</w:t>
      </w:r>
      <w:r w:rsidRPr="00512A56">
        <w:rPr>
          <w:rFonts w:ascii="Times New Roman" w:hAnsi="Times New Roman"/>
          <w:iCs/>
          <w:spacing w:val="-1"/>
          <w:sz w:val="19"/>
          <w:szCs w:val="19"/>
        </w:rPr>
        <w:t>ve</w:t>
      </w:r>
      <w:r w:rsidRPr="00512A56">
        <w:rPr>
          <w:rFonts w:ascii="Times New Roman" w:hAnsi="Times New Roman"/>
          <w:iCs/>
          <w:sz w:val="19"/>
          <w:szCs w:val="19"/>
        </w:rPr>
        <w:t>r</w:t>
      </w:r>
      <w:r w:rsidRPr="00512A56">
        <w:rPr>
          <w:rFonts w:ascii="Times New Roman" w:hAnsi="Times New Roman"/>
          <w:iCs/>
          <w:spacing w:val="-4"/>
          <w:sz w:val="19"/>
          <w:szCs w:val="19"/>
        </w:rPr>
        <w:t>s</w:t>
      </w:r>
      <w:r w:rsidRPr="00512A56">
        <w:rPr>
          <w:rFonts w:ascii="Times New Roman" w:hAnsi="Times New Roman"/>
          <w:iCs/>
          <w:spacing w:val="3"/>
          <w:sz w:val="19"/>
          <w:szCs w:val="19"/>
        </w:rPr>
        <w:t>i</w:t>
      </w:r>
      <w:r w:rsidRPr="00512A56">
        <w:rPr>
          <w:rFonts w:ascii="Times New Roman" w:hAnsi="Times New Roman"/>
          <w:iCs/>
          <w:spacing w:val="-2"/>
          <w:sz w:val="19"/>
          <w:szCs w:val="19"/>
        </w:rPr>
        <w:t>t</w:t>
      </w:r>
      <w:r w:rsidRPr="00512A56">
        <w:rPr>
          <w:rFonts w:ascii="Times New Roman" w:hAnsi="Times New Roman"/>
          <w:iCs/>
          <w:sz w:val="19"/>
          <w:szCs w:val="19"/>
        </w:rPr>
        <w:t>y</w:t>
      </w:r>
      <w:r w:rsidRPr="00512A56">
        <w:rPr>
          <w:rFonts w:ascii="Times New Roman" w:hAnsi="Times New Roman"/>
          <w:iCs/>
          <w:spacing w:val="19"/>
          <w:sz w:val="19"/>
          <w:szCs w:val="19"/>
        </w:rPr>
        <w:t xml:space="preserve"> </w:t>
      </w:r>
      <w:r w:rsidRPr="00512A56">
        <w:rPr>
          <w:rFonts w:ascii="Times New Roman" w:hAnsi="Times New Roman"/>
          <w:iCs/>
          <w:spacing w:val="7"/>
          <w:sz w:val="19"/>
          <w:szCs w:val="19"/>
        </w:rPr>
        <w:t>o</w:t>
      </w:r>
      <w:r w:rsidRPr="00512A56">
        <w:rPr>
          <w:rFonts w:ascii="Times New Roman" w:hAnsi="Times New Roman"/>
          <w:iCs/>
          <w:sz w:val="19"/>
          <w:szCs w:val="19"/>
        </w:rPr>
        <w:t>f</w:t>
      </w:r>
      <w:r w:rsidRPr="00512A56">
        <w:rPr>
          <w:rFonts w:ascii="Times New Roman" w:hAnsi="Times New Roman"/>
          <w:iCs/>
          <w:spacing w:val="3"/>
          <w:sz w:val="19"/>
          <w:szCs w:val="19"/>
        </w:rPr>
        <w:t xml:space="preserve"> </w:t>
      </w:r>
      <w:r w:rsidRPr="00512A56">
        <w:rPr>
          <w:rFonts w:ascii="Times New Roman" w:hAnsi="Times New Roman"/>
          <w:iCs/>
          <w:sz w:val="19"/>
          <w:szCs w:val="19"/>
        </w:rPr>
        <w:t>M</w:t>
      </w:r>
      <w:r w:rsidRPr="00512A56">
        <w:rPr>
          <w:rFonts w:ascii="Times New Roman" w:hAnsi="Times New Roman"/>
          <w:iCs/>
          <w:spacing w:val="-2"/>
          <w:sz w:val="19"/>
          <w:szCs w:val="19"/>
        </w:rPr>
        <w:t>a</w:t>
      </w:r>
      <w:r w:rsidRPr="00512A56">
        <w:rPr>
          <w:rFonts w:ascii="Times New Roman" w:hAnsi="Times New Roman"/>
          <w:iCs/>
          <w:spacing w:val="7"/>
          <w:sz w:val="19"/>
          <w:szCs w:val="19"/>
        </w:rPr>
        <w:t>n</w:t>
      </w:r>
      <w:r w:rsidRPr="00512A56">
        <w:rPr>
          <w:rFonts w:ascii="Times New Roman" w:hAnsi="Times New Roman"/>
          <w:iCs/>
          <w:spacing w:val="-10"/>
          <w:sz w:val="19"/>
          <w:szCs w:val="19"/>
        </w:rPr>
        <w:t>c</w:t>
      </w:r>
      <w:r w:rsidRPr="00512A56">
        <w:rPr>
          <w:rFonts w:ascii="Times New Roman" w:hAnsi="Times New Roman"/>
          <w:iCs/>
          <w:spacing w:val="7"/>
          <w:sz w:val="19"/>
          <w:szCs w:val="19"/>
        </w:rPr>
        <w:t>h</w:t>
      </w:r>
      <w:r w:rsidRPr="00512A56">
        <w:rPr>
          <w:rFonts w:ascii="Times New Roman" w:hAnsi="Times New Roman"/>
          <w:iCs/>
          <w:spacing w:val="-5"/>
          <w:sz w:val="19"/>
          <w:szCs w:val="19"/>
        </w:rPr>
        <w:t>e</w:t>
      </w:r>
      <w:r w:rsidRPr="00512A56">
        <w:rPr>
          <w:rFonts w:ascii="Times New Roman" w:hAnsi="Times New Roman"/>
          <w:iCs/>
          <w:sz w:val="19"/>
          <w:szCs w:val="19"/>
        </w:rPr>
        <w:t>s</w:t>
      </w:r>
      <w:r w:rsidRPr="00512A56">
        <w:rPr>
          <w:rFonts w:ascii="Times New Roman" w:hAnsi="Times New Roman"/>
          <w:iCs/>
          <w:spacing w:val="-2"/>
          <w:sz w:val="19"/>
          <w:szCs w:val="19"/>
        </w:rPr>
        <w:t>t</w:t>
      </w:r>
      <w:r w:rsidRPr="00512A56">
        <w:rPr>
          <w:rFonts w:ascii="Times New Roman" w:hAnsi="Times New Roman"/>
          <w:iCs/>
          <w:spacing w:val="-5"/>
          <w:sz w:val="19"/>
          <w:szCs w:val="19"/>
        </w:rPr>
        <w:t>e</w:t>
      </w:r>
      <w:r w:rsidRPr="00512A56">
        <w:rPr>
          <w:rFonts w:ascii="Times New Roman" w:hAnsi="Times New Roman"/>
          <w:iCs/>
          <w:sz w:val="19"/>
          <w:szCs w:val="19"/>
        </w:rPr>
        <w:t>r,</w:t>
      </w:r>
      <w:r w:rsidRPr="00512A56">
        <w:rPr>
          <w:rFonts w:ascii="Times New Roman" w:hAnsi="Times New Roman"/>
          <w:iCs/>
          <w:spacing w:val="28"/>
          <w:sz w:val="19"/>
          <w:szCs w:val="19"/>
        </w:rPr>
        <w:t xml:space="preserve"> </w:t>
      </w:r>
      <w:r w:rsidRPr="00512A56">
        <w:rPr>
          <w:rFonts w:ascii="Times New Roman" w:hAnsi="Times New Roman"/>
          <w:iCs/>
          <w:spacing w:val="2"/>
          <w:sz w:val="19"/>
          <w:szCs w:val="19"/>
        </w:rPr>
        <w:t>O</w:t>
      </w:r>
      <w:r w:rsidRPr="00512A56">
        <w:rPr>
          <w:rFonts w:ascii="Times New Roman" w:hAnsi="Times New Roman"/>
          <w:iCs/>
          <w:spacing w:val="-1"/>
          <w:sz w:val="19"/>
          <w:szCs w:val="19"/>
        </w:rPr>
        <w:t>x</w:t>
      </w:r>
      <w:r w:rsidRPr="00512A56">
        <w:rPr>
          <w:rFonts w:ascii="Times New Roman" w:hAnsi="Times New Roman"/>
          <w:iCs/>
          <w:spacing w:val="3"/>
          <w:sz w:val="19"/>
          <w:szCs w:val="19"/>
        </w:rPr>
        <w:t>fo</w:t>
      </w:r>
      <w:r w:rsidRPr="00512A56">
        <w:rPr>
          <w:rFonts w:ascii="Times New Roman" w:hAnsi="Times New Roman"/>
          <w:iCs/>
          <w:spacing w:val="-4"/>
          <w:sz w:val="19"/>
          <w:szCs w:val="19"/>
        </w:rPr>
        <w:t>r</w:t>
      </w:r>
      <w:r w:rsidRPr="00512A56">
        <w:rPr>
          <w:rFonts w:ascii="Times New Roman" w:hAnsi="Times New Roman"/>
          <w:iCs/>
          <w:sz w:val="19"/>
          <w:szCs w:val="19"/>
        </w:rPr>
        <w:t>d</w:t>
      </w:r>
      <w:r w:rsidRPr="00512A56">
        <w:rPr>
          <w:rFonts w:ascii="Times New Roman" w:hAnsi="Times New Roman"/>
          <w:iCs/>
          <w:spacing w:val="19"/>
          <w:sz w:val="19"/>
          <w:szCs w:val="19"/>
        </w:rPr>
        <w:t xml:space="preserve"> </w:t>
      </w:r>
      <w:r w:rsidRPr="00512A56">
        <w:rPr>
          <w:rFonts w:ascii="Times New Roman" w:hAnsi="Times New Roman"/>
          <w:iCs/>
          <w:spacing w:val="-9"/>
          <w:sz w:val="19"/>
          <w:szCs w:val="19"/>
        </w:rPr>
        <w:t>R</w:t>
      </w:r>
      <w:r w:rsidRPr="00512A56">
        <w:rPr>
          <w:rFonts w:ascii="Times New Roman" w:hAnsi="Times New Roman"/>
          <w:iCs/>
          <w:spacing w:val="3"/>
          <w:sz w:val="19"/>
          <w:szCs w:val="19"/>
        </w:rPr>
        <w:t>o</w:t>
      </w:r>
      <w:r w:rsidRPr="00512A56">
        <w:rPr>
          <w:rFonts w:ascii="Times New Roman" w:hAnsi="Times New Roman"/>
          <w:iCs/>
          <w:spacing w:val="-2"/>
          <w:sz w:val="19"/>
          <w:szCs w:val="19"/>
        </w:rPr>
        <w:t>a</w:t>
      </w:r>
      <w:r w:rsidRPr="00512A56">
        <w:rPr>
          <w:rFonts w:ascii="Times New Roman" w:hAnsi="Times New Roman"/>
          <w:iCs/>
          <w:spacing w:val="7"/>
          <w:sz w:val="19"/>
          <w:szCs w:val="19"/>
        </w:rPr>
        <w:t>d</w:t>
      </w:r>
      <w:r w:rsidRPr="00512A56">
        <w:rPr>
          <w:rFonts w:ascii="Times New Roman" w:hAnsi="Times New Roman"/>
          <w:iCs/>
          <w:sz w:val="19"/>
          <w:szCs w:val="19"/>
        </w:rPr>
        <w:t>,</w:t>
      </w:r>
      <w:r w:rsidRPr="00512A56">
        <w:rPr>
          <w:rFonts w:ascii="Times New Roman" w:hAnsi="Times New Roman"/>
          <w:iCs/>
          <w:spacing w:val="7"/>
          <w:sz w:val="19"/>
          <w:szCs w:val="19"/>
        </w:rPr>
        <w:t xml:space="preserve"> </w:t>
      </w:r>
      <w:r w:rsidRPr="00512A56">
        <w:rPr>
          <w:rFonts w:ascii="Times New Roman" w:hAnsi="Times New Roman"/>
          <w:iCs/>
          <w:spacing w:val="1"/>
          <w:w w:val="103"/>
          <w:sz w:val="19"/>
          <w:szCs w:val="19"/>
        </w:rPr>
        <w:t>Manchester</w:t>
      </w:r>
      <w:r w:rsidRPr="00512A56">
        <w:rPr>
          <w:rFonts w:ascii="Times New Roman" w:hAnsi="Times New Roman"/>
          <w:iCs/>
          <w:spacing w:val="-5"/>
          <w:sz w:val="19"/>
          <w:szCs w:val="19"/>
        </w:rPr>
        <w:t>, M</w:t>
      </w:r>
      <w:r w:rsidRPr="00512A56">
        <w:rPr>
          <w:rFonts w:ascii="Times New Roman" w:hAnsi="Times New Roman"/>
          <w:iCs/>
          <w:spacing w:val="3"/>
          <w:sz w:val="19"/>
          <w:szCs w:val="19"/>
        </w:rPr>
        <w:t>1</w:t>
      </w:r>
      <w:r w:rsidRPr="00512A56">
        <w:rPr>
          <w:rFonts w:ascii="Times New Roman" w:hAnsi="Times New Roman"/>
          <w:iCs/>
          <w:sz w:val="19"/>
          <w:szCs w:val="19"/>
        </w:rPr>
        <w:t>3</w:t>
      </w:r>
      <w:r w:rsidRPr="00512A56">
        <w:rPr>
          <w:rFonts w:ascii="Times New Roman" w:hAnsi="Times New Roman"/>
          <w:iCs/>
          <w:spacing w:val="8"/>
          <w:sz w:val="19"/>
          <w:szCs w:val="19"/>
        </w:rPr>
        <w:t xml:space="preserve"> </w:t>
      </w:r>
      <w:r w:rsidRPr="00512A56">
        <w:rPr>
          <w:rFonts w:ascii="Times New Roman" w:hAnsi="Times New Roman"/>
          <w:iCs/>
          <w:spacing w:val="3"/>
          <w:w w:val="103"/>
          <w:sz w:val="19"/>
          <w:szCs w:val="19"/>
        </w:rPr>
        <w:t>9</w:t>
      </w:r>
      <w:r w:rsidRPr="00512A56">
        <w:rPr>
          <w:rFonts w:ascii="Times New Roman" w:hAnsi="Times New Roman"/>
          <w:iCs/>
          <w:w w:val="103"/>
          <w:sz w:val="19"/>
          <w:szCs w:val="19"/>
        </w:rPr>
        <w:t>P</w:t>
      </w:r>
      <w:r w:rsidRPr="00512A56">
        <w:rPr>
          <w:rFonts w:ascii="Times New Roman" w:hAnsi="Times New Roman"/>
          <w:iCs/>
          <w:spacing w:val="1"/>
          <w:w w:val="103"/>
          <w:sz w:val="19"/>
          <w:szCs w:val="19"/>
        </w:rPr>
        <w:t>L, UK</w:t>
      </w:r>
      <w:r w:rsidRPr="00512A56">
        <w:rPr>
          <w:rFonts w:ascii="Times New Roman" w:hAnsi="Times New Roman"/>
          <w:sz w:val="19"/>
          <w:szCs w:val="19"/>
        </w:rPr>
        <w:t>.</w:t>
      </w:r>
    </w:p>
    <w:p w:rsidR="00861508" w:rsidRPr="0005164C" w:rsidRDefault="00861508" w:rsidP="00512A56">
      <w:pPr>
        <w:jc w:val="both"/>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Keywords: Rice lines, Salt stress, Microsatellite (SSR) marker, Protein analysis,</w:t>
      </w:r>
      <w:r w:rsidRPr="009D49B8">
        <w:rPr>
          <w:bCs w:val="0"/>
          <w:i w:val="0"/>
          <w:iCs w:val="0"/>
          <w:noProof w:val="0"/>
          <w:sz w:val="19"/>
          <w:szCs w:val="19"/>
          <w:lang w:val="en-IN" w:eastAsia="en-IN"/>
        </w:rPr>
        <w:t xml:space="preserve"> Gene expression</w:t>
      </w:r>
    </w:p>
    <w:p w:rsidR="003C0794" w:rsidRPr="0005164C" w:rsidRDefault="003C0794" w:rsidP="003C0794">
      <w:pPr>
        <w:pStyle w:val="keywords"/>
        <w:ind w:firstLine="0"/>
        <w:rPr>
          <w:b w:val="0"/>
          <w:bCs w:val="0"/>
          <w:i w:val="0"/>
          <w:iCs w:val="0"/>
          <w:noProof w:val="0"/>
          <w:sz w:val="19"/>
          <w:szCs w:val="19"/>
          <w:lang w:val="en-IN" w:eastAsia="en-IN"/>
        </w:rPr>
      </w:pPr>
    </w:p>
    <w:p w:rsidR="00512A56" w:rsidRDefault="003C0794" w:rsidP="00512A56">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512A56" w:rsidRPr="00512A56" w:rsidRDefault="00512A56" w:rsidP="00512A56">
      <w:pPr>
        <w:pStyle w:val="keywords"/>
        <w:ind w:firstLine="0"/>
        <w:rPr>
          <w:b w:val="0"/>
          <w:bCs w:val="0"/>
          <w:i w:val="0"/>
          <w:iCs w:val="0"/>
          <w:noProof w:val="0"/>
          <w:sz w:val="19"/>
          <w:szCs w:val="19"/>
          <w:lang w:val="en-IN" w:eastAsia="en-IN"/>
        </w:rPr>
      </w:pPr>
      <w:r w:rsidRPr="00512A56">
        <w:rPr>
          <w:rFonts w:cs="Calibri"/>
          <w:b w:val="0"/>
          <w:bCs w:val="0"/>
          <w:i w:val="0"/>
          <w:iCs w:val="0"/>
          <w:sz w:val="19"/>
          <w:szCs w:val="19"/>
        </w:rPr>
        <w:t>Antimony(III) ethylxanthate [Sb(S</w:t>
      </w:r>
      <w:r w:rsidRPr="00512A56">
        <w:rPr>
          <w:rFonts w:cs="Calibri"/>
          <w:b w:val="0"/>
          <w:bCs w:val="0"/>
          <w:i w:val="0"/>
          <w:iCs w:val="0"/>
          <w:sz w:val="19"/>
          <w:szCs w:val="19"/>
          <w:vertAlign w:val="subscript"/>
        </w:rPr>
        <w:t>2</w:t>
      </w:r>
      <w:r w:rsidRPr="00512A56">
        <w:rPr>
          <w:rFonts w:cs="Calibri"/>
          <w:b w:val="0"/>
          <w:bCs w:val="0"/>
          <w:i w:val="0"/>
          <w:iCs w:val="0"/>
          <w:sz w:val="19"/>
          <w:szCs w:val="19"/>
        </w:rPr>
        <w:t>COEt)</w:t>
      </w:r>
      <w:r w:rsidRPr="00512A56">
        <w:rPr>
          <w:rFonts w:cs="Calibri"/>
          <w:b w:val="0"/>
          <w:bCs w:val="0"/>
          <w:i w:val="0"/>
          <w:iCs w:val="0"/>
          <w:sz w:val="19"/>
          <w:szCs w:val="19"/>
          <w:vertAlign w:val="subscript"/>
        </w:rPr>
        <w:t>3</w:t>
      </w:r>
      <w:r w:rsidRPr="00512A56">
        <w:rPr>
          <w:rFonts w:cs="Calibri"/>
          <w:b w:val="0"/>
          <w:bCs w:val="0"/>
          <w:i w:val="0"/>
          <w:iCs w:val="0"/>
          <w:sz w:val="19"/>
          <w:szCs w:val="19"/>
        </w:rPr>
        <w:t>] and bismuth(III) ethylxanthate [Bi(S</w:t>
      </w:r>
      <w:r w:rsidRPr="00512A56">
        <w:rPr>
          <w:rFonts w:cs="Calibri"/>
          <w:b w:val="0"/>
          <w:bCs w:val="0"/>
          <w:i w:val="0"/>
          <w:iCs w:val="0"/>
          <w:sz w:val="19"/>
          <w:szCs w:val="19"/>
          <w:vertAlign w:val="subscript"/>
        </w:rPr>
        <w:t>2</w:t>
      </w:r>
      <w:r w:rsidRPr="00512A56">
        <w:rPr>
          <w:rFonts w:cs="Calibri"/>
          <w:b w:val="0"/>
          <w:bCs w:val="0"/>
          <w:i w:val="0"/>
          <w:iCs w:val="0"/>
          <w:sz w:val="19"/>
          <w:szCs w:val="19"/>
        </w:rPr>
        <w:t>COEt)</w:t>
      </w:r>
      <w:r w:rsidRPr="00512A56">
        <w:rPr>
          <w:rFonts w:cs="Calibri"/>
          <w:b w:val="0"/>
          <w:bCs w:val="0"/>
          <w:i w:val="0"/>
          <w:iCs w:val="0"/>
          <w:sz w:val="19"/>
          <w:szCs w:val="19"/>
          <w:vertAlign w:val="subscript"/>
        </w:rPr>
        <w:t>3</w:t>
      </w:r>
      <w:r w:rsidRPr="00512A56">
        <w:rPr>
          <w:rFonts w:cs="Calibri"/>
          <w:b w:val="0"/>
          <w:bCs w:val="0"/>
          <w:i w:val="0"/>
          <w:iCs w:val="0"/>
          <w:sz w:val="19"/>
          <w:szCs w:val="19"/>
        </w:rPr>
        <w:t>] were used as a single source precursor for the preparation of Sb</w:t>
      </w:r>
      <w:r w:rsidRPr="00512A56">
        <w:rPr>
          <w:rFonts w:cs="Calibri"/>
          <w:b w:val="0"/>
          <w:bCs w:val="0"/>
          <w:i w:val="0"/>
          <w:iCs w:val="0"/>
          <w:sz w:val="19"/>
          <w:szCs w:val="19"/>
          <w:vertAlign w:val="subscript"/>
        </w:rPr>
        <w:t>2</w:t>
      </w:r>
      <w:r w:rsidRPr="00512A56">
        <w:rPr>
          <w:rFonts w:cs="Calibri"/>
          <w:b w:val="0"/>
          <w:bCs w:val="0"/>
          <w:i w:val="0"/>
          <w:iCs w:val="0"/>
          <w:sz w:val="19"/>
          <w:szCs w:val="19"/>
        </w:rPr>
        <w:t>S</w:t>
      </w:r>
      <w:r w:rsidRPr="00512A56">
        <w:rPr>
          <w:rFonts w:cs="Calibri"/>
          <w:b w:val="0"/>
          <w:bCs w:val="0"/>
          <w:i w:val="0"/>
          <w:iCs w:val="0"/>
          <w:sz w:val="19"/>
          <w:szCs w:val="19"/>
          <w:vertAlign w:val="subscript"/>
        </w:rPr>
        <w:t>3</w:t>
      </w:r>
      <w:r w:rsidRPr="00512A56">
        <w:rPr>
          <w:rFonts w:cs="Calibri"/>
          <w:b w:val="0"/>
          <w:bCs w:val="0"/>
          <w:i w:val="0"/>
          <w:iCs w:val="0"/>
          <w:sz w:val="19"/>
          <w:szCs w:val="19"/>
        </w:rPr>
        <w:t xml:space="preserve"> and Bi</w:t>
      </w:r>
      <w:r w:rsidRPr="00512A56">
        <w:rPr>
          <w:rFonts w:cs="Calibri"/>
          <w:b w:val="0"/>
          <w:bCs w:val="0"/>
          <w:i w:val="0"/>
          <w:iCs w:val="0"/>
          <w:sz w:val="19"/>
          <w:szCs w:val="19"/>
          <w:vertAlign w:val="subscript"/>
        </w:rPr>
        <w:t>2</w:t>
      </w:r>
      <w:r w:rsidRPr="00512A56">
        <w:rPr>
          <w:rFonts w:cs="Calibri"/>
          <w:b w:val="0"/>
          <w:bCs w:val="0"/>
          <w:i w:val="0"/>
          <w:iCs w:val="0"/>
          <w:sz w:val="19"/>
          <w:szCs w:val="19"/>
        </w:rPr>
        <w:t>S</w:t>
      </w:r>
      <w:r w:rsidRPr="00512A56">
        <w:rPr>
          <w:rFonts w:cs="Calibri"/>
          <w:b w:val="0"/>
          <w:bCs w:val="0"/>
          <w:i w:val="0"/>
          <w:iCs w:val="0"/>
          <w:sz w:val="19"/>
          <w:szCs w:val="19"/>
          <w:vertAlign w:val="subscript"/>
        </w:rPr>
        <w:t>3</w:t>
      </w:r>
      <w:r w:rsidRPr="00512A56">
        <w:rPr>
          <w:rFonts w:cs="Calibri"/>
          <w:b w:val="0"/>
          <w:bCs w:val="0"/>
          <w:i w:val="0"/>
          <w:iCs w:val="0"/>
          <w:sz w:val="19"/>
          <w:szCs w:val="19"/>
        </w:rPr>
        <w:t xml:space="preserve">, respectively, by a melt method at different temperatures. In addition, </w:t>
      </w:r>
      <w:r w:rsidRPr="00512A56">
        <w:rPr>
          <w:b w:val="0"/>
          <w:bCs w:val="0"/>
          <w:i w:val="0"/>
          <w:iCs w:val="0"/>
          <w:sz w:val="19"/>
          <w:szCs w:val="19"/>
        </w:rPr>
        <w:t>The thermogravimetric analysis reveals that both precursors exhibit complete decomposition in similar temperature range. Therefore, the mixture of these precursors can be used to produce solid solutions of Bi-Sb-S between the two phases (Bi</w:t>
      </w:r>
      <w:r w:rsidRPr="00512A56">
        <w:rPr>
          <w:b w:val="0"/>
          <w:bCs w:val="0"/>
          <w:i w:val="0"/>
          <w:iCs w:val="0"/>
          <w:sz w:val="19"/>
          <w:szCs w:val="19"/>
          <w:vertAlign w:val="subscript"/>
        </w:rPr>
        <w:t>2</w:t>
      </w:r>
      <w:r w:rsidRPr="00512A56">
        <w:rPr>
          <w:b w:val="0"/>
          <w:bCs w:val="0"/>
          <w:i w:val="0"/>
          <w:iCs w:val="0"/>
          <w:sz w:val="19"/>
          <w:szCs w:val="19"/>
        </w:rPr>
        <w:t>S</w:t>
      </w:r>
      <w:r w:rsidRPr="00512A56">
        <w:rPr>
          <w:b w:val="0"/>
          <w:bCs w:val="0"/>
          <w:i w:val="0"/>
          <w:iCs w:val="0"/>
          <w:sz w:val="19"/>
          <w:szCs w:val="19"/>
          <w:vertAlign w:val="subscript"/>
        </w:rPr>
        <w:t>3</w:t>
      </w:r>
      <w:r w:rsidRPr="00512A56">
        <w:rPr>
          <w:b w:val="0"/>
          <w:bCs w:val="0"/>
          <w:i w:val="0"/>
          <w:iCs w:val="0"/>
          <w:sz w:val="19"/>
          <w:szCs w:val="19"/>
        </w:rPr>
        <w:t xml:space="preserve"> and Sb</w:t>
      </w:r>
      <w:r w:rsidRPr="00512A56">
        <w:rPr>
          <w:b w:val="0"/>
          <w:bCs w:val="0"/>
          <w:i w:val="0"/>
          <w:iCs w:val="0"/>
          <w:sz w:val="19"/>
          <w:szCs w:val="19"/>
          <w:vertAlign w:val="subscript"/>
        </w:rPr>
        <w:t>2</w:t>
      </w:r>
      <w:r w:rsidRPr="00512A56">
        <w:rPr>
          <w:b w:val="0"/>
          <w:bCs w:val="0"/>
          <w:i w:val="0"/>
          <w:iCs w:val="0"/>
          <w:sz w:val="19"/>
          <w:szCs w:val="19"/>
        </w:rPr>
        <w:t>S</w:t>
      </w:r>
      <w:r w:rsidRPr="00512A56">
        <w:rPr>
          <w:b w:val="0"/>
          <w:bCs w:val="0"/>
          <w:i w:val="0"/>
          <w:iCs w:val="0"/>
          <w:sz w:val="19"/>
          <w:szCs w:val="19"/>
          <w:vertAlign w:val="subscript"/>
        </w:rPr>
        <w:t>3</w:t>
      </w:r>
      <w:r w:rsidRPr="00512A56">
        <w:rPr>
          <w:b w:val="0"/>
          <w:bCs w:val="0"/>
          <w:i w:val="0"/>
          <w:iCs w:val="0"/>
          <w:sz w:val="19"/>
          <w:szCs w:val="19"/>
        </w:rPr>
        <w:t>). A series with varying stoichiometry was synthesized by using different molar ratios (i.e. Sb/Sb+Bi = 0.2, 0.4, 0.6 and 0.8). The XRD peaks at all ratios correspond well to the orthorhombic crystals, where the peaks fall in between those of orthorhombic Bi</w:t>
      </w:r>
      <w:r w:rsidRPr="00512A56">
        <w:rPr>
          <w:b w:val="0"/>
          <w:bCs w:val="0"/>
          <w:i w:val="0"/>
          <w:iCs w:val="0"/>
          <w:sz w:val="19"/>
          <w:szCs w:val="19"/>
          <w:vertAlign w:val="subscript"/>
        </w:rPr>
        <w:t>2</w:t>
      </w:r>
      <w:r w:rsidRPr="00512A56">
        <w:rPr>
          <w:b w:val="0"/>
          <w:bCs w:val="0"/>
          <w:i w:val="0"/>
          <w:iCs w:val="0"/>
          <w:sz w:val="19"/>
          <w:szCs w:val="19"/>
        </w:rPr>
        <w:t>S</w:t>
      </w:r>
      <w:r w:rsidRPr="00512A56">
        <w:rPr>
          <w:b w:val="0"/>
          <w:bCs w:val="0"/>
          <w:i w:val="0"/>
          <w:iCs w:val="0"/>
          <w:sz w:val="19"/>
          <w:szCs w:val="19"/>
          <w:vertAlign w:val="subscript"/>
        </w:rPr>
        <w:t xml:space="preserve">3 </w:t>
      </w:r>
      <w:r w:rsidRPr="00512A56">
        <w:rPr>
          <w:b w:val="0"/>
          <w:bCs w:val="0"/>
          <w:i w:val="0"/>
          <w:iCs w:val="0"/>
          <w:sz w:val="19"/>
          <w:szCs w:val="19"/>
        </w:rPr>
        <w:t>and orthorhombic Sb</w:t>
      </w:r>
      <w:r w:rsidRPr="00512A56">
        <w:rPr>
          <w:b w:val="0"/>
          <w:bCs w:val="0"/>
          <w:i w:val="0"/>
          <w:iCs w:val="0"/>
          <w:sz w:val="19"/>
          <w:szCs w:val="19"/>
          <w:vertAlign w:val="subscript"/>
        </w:rPr>
        <w:t>2</w:t>
      </w:r>
      <w:r w:rsidRPr="00512A56">
        <w:rPr>
          <w:b w:val="0"/>
          <w:bCs w:val="0"/>
          <w:i w:val="0"/>
          <w:iCs w:val="0"/>
          <w:sz w:val="19"/>
          <w:szCs w:val="19"/>
        </w:rPr>
        <w:t>S</w:t>
      </w:r>
      <w:r w:rsidRPr="00512A56">
        <w:rPr>
          <w:b w:val="0"/>
          <w:bCs w:val="0"/>
          <w:i w:val="0"/>
          <w:iCs w:val="0"/>
          <w:sz w:val="19"/>
          <w:szCs w:val="19"/>
          <w:vertAlign w:val="subscript"/>
        </w:rPr>
        <w:t xml:space="preserve">3 </w:t>
      </w:r>
      <w:r w:rsidRPr="00512A56">
        <w:rPr>
          <w:b w:val="0"/>
          <w:bCs w:val="0"/>
          <w:i w:val="0"/>
          <w:iCs w:val="0"/>
          <w:sz w:val="19"/>
          <w:szCs w:val="19"/>
        </w:rPr>
        <w:t>for Bi-Sb-S system. The gradual splitting and shift in the peaks position confirms the successful incorporation of antimony into bismuth sulfide. The inclusion of antimony was further confirmed by change in lattice parameters and is in good agreement with the literature values. A decrease of almost 3.5 % in volume was observed as moving from Bi</w:t>
      </w:r>
      <w:r w:rsidRPr="00512A56">
        <w:rPr>
          <w:b w:val="0"/>
          <w:bCs w:val="0"/>
          <w:i w:val="0"/>
          <w:iCs w:val="0"/>
          <w:sz w:val="19"/>
          <w:szCs w:val="19"/>
          <w:vertAlign w:val="subscript"/>
        </w:rPr>
        <w:t>2</w:t>
      </w:r>
      <w:r w:rsidRPr="00512A56">
        <w:rPr>
          <w:b w:val="0"/>
          <w:bCs w:val="0"/>
          <w:i w:val="0"/>
          <w:iCs w:val="0"/>
          <w:sz w:val="19"/>
          <w:szCs w:val="19"/>
        </w:rPr>
        <w:t>S</w:t>
      </w:r>
      <w:r w:rsidRPr="00512A56">
        <w:rPr>
          <w:b w:val="0"/>
          <w:bCs w:val="0"/>
          <w:i w:val="0"/>
          <w:iCs w:val="0"/>
          <w:sz w:val="19"/>
          <w:szCs w:val="19"/>
          <w:vertAlign w:val="subscript"/>
        </w:rPr>
        <w:t>3</w:t>
      </w:r>
      <w:r w:rsidRPr="00512A56">
        <w:rPr>
          <w:b w:val="0"/>
          <w:bCs w:val="0"/>
          <w:i w:val="0"/>
          <w:iCs w:val="0"/>
          <w:sz w:val="19"/>
          <w:szCs w:val="19"/>
        </w:rPr>
        <w:t xml:space="preserve"> to Sb</w:t>
      </w:r>
      <w:r w:rsidRPr="00512A56">
        <w:rPr>
          <w:b w:val="0"/>
          <w:bCs w:val="0"/>
          <w:i w:val="0"/>
          <w:iCs w:val="0"/>
          <w:sz w:val="19"/>
          <w:szCs w:val="19"/>
          <w:vertAlign w:val="subscript"/>
        </w:rPr>
        <w:t>2</w:t>
      </w:r>
      <w:r w:rsidRPr="00512A56">
        <w:rPr>
          <w:b w:val="0"/>
          <w:bCs w:val="0"/>
          <w:i w:val="0"/>
          <w:iCs w:val="0"/>
          <w:sz w:val="19"/>
          <w:szCs w:val="19"/>
        </w:rPr>
        <w:t>S</w:t>
      </w:r>
      <w:r w:rsidRPr="00512A56">
        <w:rPr>
          <w:b w:val="0"/>
          <w:bCs w:val="0"/>
          <w:i w:val="0"/>
          <w:iCs w:val="0"/>
          <w:sz w:val="19"/>
          <w:szCs w:val="19"/>
          <w:vertAlign w:val="subscript"/>
        </w:rPr>
        <w:t>3</w:t>
      </w:r>
      <w:r w:rsidRPr="00512A56">
        <w:rPr>
          <w:b w:val="0"/>
          <w:bCs w:val="0"/>
          <w:i w:val="0"/>
          <w:iCs w:val="0"/>
          <w:sz w:val="19"/>
          <w:szCs w:val="19"/>
        </w:rPr>
        <w:t xml:space="preserve">. A change in all lattice parameters indicates that the substitution is random and not in any specific direction. The elemental compositions of all the samples were examined via EDX analysis and ICP- OES, which shows uniform distribution of elements in all samples. </w:t>
      </w:r>
      <w:r w:rsidRPr="00512A56">
        <w:rPr>
          <w:b w:val="0"/>
          <w:bCs w:val="0"/>
          <w:i w:val="0"/>
          <w:iCs w:val="0"/>
          <w:color w:val="000000"/>
          <w:sz w:val="19"/>
          <w:szCs w:val="19"/>
        </w:rPr>
        <w:t xml:space="preserve">The morphology for all the samples was observed using SEM, revealing different </w:t>
      </w:r>
      <w:r w:rsidRPr="00512A56">
        <w:rPr>
          <w:b w:val="0"/>
          <w:bCs w:val="0"/>
          <w:i w:val="0"/>
          <w:iCs w:val="0"/>
          <w:sz w:val="19"/>
          <w:szCs w:val="19"/>
        </w:rPr>
        <w:t>morphologies as the composition changes from Bi</w:t>
      </w:r>
      <w:r w:rsidRPr="00512A56">
        <w:rPr>
          <w:b w:val="0"/>
          <w:bCs w:val="0"/>
          <w:i w:val="0"/>
          <w:iCs w:val="0"/>
          <w:sz w:val="19"/>
          <w:szCs w:val="19"/>
          <w:vertAlign w:val="subscript"/>
        </w:rPr>
        <w:t>2</w:t>
      </w:r>
      <w:r w:rsidRPr="00512A56">
        <w:rPr>
          <w:b w:val="0"/>
          <w:bCs w:val="0"/>
          <w:i w:val="0"/>
          <w:iCs w:val="0"/>
          <w:sz w:val="19"/>
          <w:szCs w:val="19"/>
        </w:rPr>
        <w:t>S</w:t>
      </w:r>
      <w:r w:rsidRPr="00512A56">
        <w:rPr>
          <w:b w:val="0"/>
          <w:bCs w:val="0"/>
          <w:i w:val="0"/>
          <w:iCs w:val="0"/>
          <w:sz w:val="19"/>
          <w:szCs w:val="19"/>
          <w:vertAlign w:val="subscript"/>
        </w:rPr>
        <w:t>3</w:t>
      </w:r>
      <w:r w:rsidRPr="00512A56">
        <w:rPr>
          <w:b w:val="0"/>
          <w:bCs w:val="0"/>
          <w:i w:val="0"/>
          <w:iCs w:val="0"/>
          <w:sz w:val="19"/>
          <w:szCs w:val="19"/>
        </w:rPr>
        <w:t xml:space="preserve"> to Sb</w:t>
      </w:r>
      <w:r w:rsidRPr="00512A56">
        <w:rPr>
          <w:b w:val="0"/>
          <w:bCs w:val="0"/>
          <w:i w:val="0"/>
          <w:iCs w:val="0"/>
          <w:sz w:val="19"/>
          <w:szCs w:val="19"/>
          <w:vertAlign w:val="subscript"/>
        </w:rPr>
        <w:t>2</w:t>
      </w:r>
      <w:r w:rsidRPr="00512A56">
        <w:rPr>
          <w:b w:val="0"/>
          <w:bCs w:val="0"/>
          <w:i w:val="0"/>
          <w:iCs w:val="0"/>
          <w:sz w:val="19"/>
          <w:szCs w:val="19"/>
        </w:rPr>
        <w:t>S</w:t>
      </w:r>
      <w:r w:rsidRPr="00512A56">
        <w:rPr>
          <w:b w:val="0"/>
          <w:bCs w:val="0"/>
          <w:i w:val="0"/>
          <w:iCs w:val="0"/>
          <w:sz w:val="19"/>
          <w:szCs w:val="19"/>
          <w:vertAlign w:val="subscript"/>
        </w:rPr>
        <w:t>3</w:t>
      </w:r>
      <w:r w:rsidRPr="00512A56">
        <w:rPr>
          <w:b w:val="0"/>
          <w:bCs w:val="0"/>
          <w:i w:val="0"/>
          <w:iCs w:val="0"/>
          <w:sz w:val="19"/>
          <w:szCs w:val="19"/>
        </w:rPr>
        <w:t>.</w:t>
      </w:r>
      <w:r w:rsidR="009F675D">
        <w:rPr>
          <w:b w:val="0"/>
          <w:bCs w:val="0"/>
          <w:i w:val="0"/>
          <w:iCs w:val="0"/>
          <w:sz w:val="19"/>
          <w:szCs w:val="19"/>
          <w:vertAlign w:val="superscript"/>
        </w:rPr>
        <w:t>1-3</w:t>
      </w:r>
      <w:bookmarkStart w:id="0" w:name="_GoBack"/>
      <w:bookmarkEnd w:id="0"/>
      <w:r w:rsidRPr="00512A56">
        <w:rPr>
          <w:b w:val="0"/>
          <w:bCs w:val="0"/>
          <w:i w:val="0"/>
          <w:iCs w:val="0"/>
          <w:sz w:val="19"/>
          <w:szCs w:val="19"/>
        </w:rPr>
        <w:t xml:space="preserve"> </w:t>
      </w:r>
    </w:p>
    <w:p w:rsidR="00883A50" w:rsidRPr="00512A56" w:rsidRDefault="00883A50" w:rsidP="00883A50">
      <w:pPr>
        <w:jc w:val="both"/>
        <w:rPr>
          <w:sz w:val="19"/>
          <w:szCs w:val="19"/>
          <w:lang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9F675D" w:rsidP="00512A56">
      <w:pPr>
        <w:pStyle w:val="BodyText"/>
        <w:ind w:firstLine="0"/>
        <w:jc w:val="center"/>
        <w:rPr>
          <w:sz w:val="19"/>
          <w:szCs w:val="19"/>
        </w:rPr>
      </w:pPr>
      <w:r w:rsidRPr="00B61B29">
        <w:rPr>
          <w:noProof/>
        </w:rPr>
        <w:drawing>
          <wp:inline distT="0" distB="0" distL="0" distR="0">
            <wp:extent cx="2032000" cy="1790700"/>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0" cy="1790700"/>
                    </a:xfrm>
                    <a:prstGeom prst="rect">
                      <a:avLst/>
                    </a:prstGeom>
                    <a:noFill/>
                    <a:ln>
                      <a:noFill/>
                    </a:ln>
                  </pic:spPr>
                </pic:pic>
              </a:graphicData>
            </a:graphic>
          </wp:inline>
        </w:drawing>
      </w: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9D49B8" w:rsidRPr="00756222" w:rsidRDefault="00756222" w:rsidP="009D49B8">
      <w:pPr>
        <w:numPr>
          <w:ilvl w:val="0"/>
          <w:numId w:val="24"/>
        </w:numPr>
        <w:shd w:val="clear" w:color="auto" w:fill="FFFFFF"/>
        <w:spacing w:before="100" w:beforeAutospacing="1" w:after="120"/>
        <w:jc w:val="left"/>
        <w:rPr>
          <w:rFonts w:asciiTheme="majorBidi" w:hAnsiTheme="majorBidi" w:cstheme="majorBidi"/>
          <w:sz w:val="19"/>
          <w:szCs w:val="19"/>
          <w:lang w:val="en-IN" w:eastAsia="en-IN"/>
        </w:rPr>
      </w:pPr>
      <w:bookmarkStart w:id="1" w:name="2"/>
      <w:bookmarkEnd w:id="1"/>
      <w:r w:rsidRPr="00756222">
        <w:rPr>
          <w:rFonts w:asciiTheme="majorBidi" w:hAnsiTheme="majorBidi" w:cstheme="majorBidi"/>
          <w:color w:val="222222"/>
          <w:sz w:val="19"/>
          <w:szCs w:val="19"/>
          <w:shd w:val="clear" w:color="auto" w:fill="FFFFFF"/>
        </w:rPr>
        <w:t>Messina, S., Nair, M.T.S. and Nair, P.K., 2007. Antimony sulfide thin films in chemically deposited thin film photovoltaic cells. </w:t>
      </w:r>
      <w:r w:rsidRPr="00756222">
        <w:rPr>
          <w:rFonts w:asciiTheme="majorBidi" w:hAnsiTheme="majorBidi" w:cstheme="majorBidi"/>
          <w:i/>
          <w:iCs/>
          <w:color w:val="222222"/>
          <w:sz w:val="19"/>
          <w:szCs w:val="19"/>
          <w:shd w:val="clear" w:color="auto" w:fill="FFFFFF"/>
        </w:rPr>
        <w:t>Thin Solid Films</w:t>
      </w:r>
      <w:r w:rsidRPr="00756222">
        <w:rPr>
          <w:rFonts w:asciiTheme="majorBidi" w:hAnsiTheme="majorBidi" w:cstheme="majorBidi"/>
          <w:color w:val="222222"/>
          <w:sz w:val="19"/>
          <w:szCs w:val="19"/>
          <w:shd w:val="clear" w:color="auto" w:fill="FFFFFF"/>
        </w:rPr>
        <w:t>, </w:t>
      </w:r>
      <w:r w:rsidRPr="00756222">
        <w:rPr>
          <w:rFonts w:asciiTheme="majorBidi" w:hAnsiTheme="majorBidi" w:cstheme="majorBidi"/>
          <w:i/>
          <w:iCs/>
          <w:color w:val="222222"/>
          <w:sz w:val="19"/>
          <w:szCs w:val="19"/>
          <w:shd w:val="clear" w:color="auto" w:fill="FFFFFF"/>
        </w:rPr>
        <w:t>515</w:t>
      </w:r>
      <w:r w:rsidRPr="00756222">
        <w:rPr>
          <w:rFonts w:asciiTheme="majorBidi" w:hAnsiTheme="majorBidi" w:cstheme="majorBidi"/>
          <w:color w:val="222222"/>
          <w:sz w:val="19"/>
          <w:szCs w:val="19"/>
          <w:shd w:val="clear" w:color="auto" w:fill="FFFFFF"/>
        </w:rPr>
        <w:t>(15), pp.5777-5782.</w:t>
      </w:r>
    </w:p>
    <w:p w:rsidR="009D49B8" w:rsidRPr="00756222" w:rsidRDefault="00756222" w:rsidP="009D49B8">
      <w:pPr>
        <w:numPr>
          <w:ilvl w:val="0"/>
          <w:numId w:val="16"/>
        </w:numPr>
        <w:shd w:val="clear" w:color="auto" w:fill="FFFFFF"/>
        <w:spacing w:before="100" w:beforeAutospacing="1" w:after="120"/>
        <w:jc w:val="left"/>
        <w:rPr>
          <w:rFonts w:asciiTheme="majorBidi" w:hAnsiTheme="majorBidi" w:cstheme="majorBidi"/>
          <w:sz w:val="19"/>
          <w:szCs w:val="19"/>
          <w:lang w:val="en-IN" w:eastAsia="en-IN"/>
        </w:rPr>
      </w:pPr>
      <w:r w:rsidRPr="00756222">
        <w:rPr>
          <w:rFonts w:asciiTheme="majorBidi" w:hAnsiTheme="majorBidi" w:cstheme="majorBidi"/>
          <w:color w:val="222222"/>
          <w:sz w:val="19"/>
          <w:szCs w:val="19"/>
          <w:shd w:val="clear" w:color="auto" w:fill="FFFFFF"/>
        </w:rPr>
        <w:t>Kaltenhauser, V., Rath, T., Haas, W., Torvisco, A., Müller, S.K., Friedel, B., Kunert, B., Saf, R., Hofer, F. and Trimmel, G., 2013. Bismuth sulphide–polymer nanocomposites from a highly soluble bismuth xanthate precursor. </w:t>
      </w:r>
      <w:r w:rsidRPr="00756222">
        <w:rPr>
          <w:rFonts w:asciiTheme="majorBidi" w:hAnsiTheme="majorBidi" w:cstheme="majorBidi"/>
          <w:i/>
          <w:iCs/>
          <w:color w:val="222222"/>
          <w:sz w:val="19"/>
          <w:szCs w:val="19"/>
          <w:shd w:val="clear" w:color="auto" w:fill="FFFFFF"/>
        </w:rPr>
        <w:t>Journal of Materials Chemistry C</w:t>
      </w:r>
      <w:r w:rsidRPr="00756222">
        <w:rPr>
          <w:rFonts w:asciiTheme="majorBidi" w:hAnsiTheme="majorBidi" w:cstheme="majorBidi"/>
          <w:color w:val="222222"/>
          <w:sz w:val="19"/>
          <w:szCs w:val="19"/>
          <w:shd w:val="clear" w:color="auto" w:fill="FFFFFF"/>
        </w:rPr>
        <w:t>, </w:t>
      </w:r>
      <w:r w:rsidRPr="00756222">
        <w:rPr>
          <w:rFonts w:asciiTheme="majorBidi" w:hAnsiTheme="majorBidi" w:cstheme="majorBidi"/>
          <w:i/>
          <w:iCs/>
          <w:color w:val="222222"/>
          <w:sz w:val="19"/>
          <w:szCs w:val="19"/>
          <w:shd w:val="clear" w:color="auto" w:fill="FFFFFF"/>
        </w:rPr>
        <w:t>1</w:t>
      </w:r>
      <w:r w:rsidRPr="00756222">
        <w:rPr>
          <w:rFonts w:asciiTheme="majorBidi" w:hAnsiTheme="majorBidi" w:cstheme="majorBidi"/>
          <w:color w:val="222222"/>
          <w:sz w:val="19"/>
          <w:szCs w:val="19"/>
          <w:shd w:val="clear" w:color="auto" w:fill="FFFFFF"/>
        </w:rPr>
        <w:t>(47), pp.7825-7832.</w:t>
      </w:r>
      <w:r w:rsidR="009D49B8" w:rsidRPr="00756222">
        <w:rPr>
          <w:rFonts w:asciiTheme="majorBidi" w:hAnsiTheme="majorBidi" w:cstheme="majorBidi"/>
          <w:sz w:val="19"/>
          <w:szCs w:val="19"/>
          <w:lang w:val="en-IN" w:eastAsia="en-IN"/>
        </w:rPr>
        <w:t xml:space="preserve"> </w:t>
      </w:r>
    </w:p>
    <w:p w:rsidR="00351E9B" w:rsidRDefault="00756222" w:rsidP="00351E9B">
      <w:pPr>
        <w:numPr>
          <w:ilvl w:val="0"/>
          <w:numId w:val="16"/>
        </w:numPr>
        <w:shd w:val="clear" w:color="auto" w:fill="FFFFFF"/>
        <w:spacing w:before="100" w:beforeAutospacing="1" w:after="120"/>
        <w:jc w:val="left"/>
        <w:rPr>
          <w:sz w:val="19"/>
          <w:szCs w:val="19"/>
          <w:lang w:val="en-IN" w:eastAsia="en-IN"/>
        </w:rPr>
      </w:pPr>
      <w:r w:rsidRPr="00756222">
        <w:rPr>
          <w:rFonts w:asciiTheme="majorBidi" w:hAnsiTheme="majorBidi" w:cstheme="majorBidi"/>
          <w:color w:val="222222"/>
          <w:sz w:val="19"/>
          <w:szCs w:val="19"/>
          <w:shd w:val="clear" w:color="auto" w:fill="FFFFFF"/>
        </w:rPr>
        <w:t>Kyono, A. and Kimata, M., 2004. Structural variations induced by difference of the inert pair effect in the stibnite-bismuthinite solid solution series (Sb, Bi) 2S3. </w:t>
      </w:r>
      <w:r w:rsidRPr="00756222">
        <w:rPr>
          <w:rFonts w:asciiTheme="majorBidi" w:hAnsiTheme="majorBidi" w:cstheme="majorBidi"/>
          <w:i/>
          <w:iCs/>
          <w:color w:val="222222"/>
          <w:sz w:val="19"/>
          <w:szCs w:val="19"/>
          <w:shd w:val="clear" w:color="auto" w:fill="FFFFFF"/>
        </w:rPr>
        <w:t>American Mineralogist</w:t>
      </w:r>
      <w:r w:rsidRPr="00756222">
        <w:rPr>
          <w:rFonts w:asciiTheme="majorBidi" w:hAnsiTheme="majorBidi" w:cstheme="majorBidi"/>
          <w:color w:val="222222"/>
          <w:sz w:val="19"/>
          <w:szCs w:val="19"/>
          <w:shd w:val="clear" w:color="auto" w:fill="FFFFFF"/>
        </w:rPr>
        <w:t>, </w:t>
      </w:r>
      <w:r w:rsidRPr="00756222">
        <w:rPr>
          <w:rFonts w:asciiTheme="majorBidi" w:hAnsiTheme="majorBidi" w:cstheme="majorBidi"/>
          <w:i/>
          <w:iCs/>
          <w:color w:val="222222"/>
          <w:sz w:val="19"/>
          <w:szCs w:val="19"/>
          <w:shd w:val="clear" w:color="auto" w:fill="FFFFFF"/>
        </w:rPr>
        <w:t>89</w:t>
      </w:r>
      <w:r w:rsidRPr="00756222">
        <w:rPr>
          <w:rFonts w:asciiTheme="majorBidi" w:hAnsiTheme="majorBidi" w:cstheme="majorBidi"/>
          <w:color w:val="222222"/>
          <w:sz w:val="19"/>
          <w:szCs w:val="19"/>
          <w:shd w:val="clear" w:color="auto" w:fill="FFFFFF"/>
        </w:rPr>
        <w:t>(7), pp.932-940</w:t>
      </w:r>
      <w:r>
        <w:rPr>
          <w:rFonts w:ascii="Arial" w:hAnsi="Arial" w:cs="Arial"/>
          <w:color w:val="222222"/>
          <w:shd w:val="clear" w:color="auto" w:fill="FFFFFF"/>
        </w:rPr>
        <w:t>.</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756222" w:rsidRPr="00756222" w:rsidRDefault="00756222" w:rsidP="00756222">
      <w:pPr>
        <w:autoSpaceDE w:val="0"/>
        <w:autoSpaceDN w:val="0"/>
        <w:adjustRightInd w:val="0"/>
        <w:jc w:val="mediumKashida"/>
        <w:rPr>
          <w:sz w:val="19"/>
          <w:szCs w:val="19"/>
        </w:rPr>
      </w:pPr>
      <w:r w:rsidRPr="00756222">
        <w:rPr>
          <w:sz w:val="19"/>
          <w:szCs w:val="19"/>
        </w:rPr>
        <w:t xml:space="preserve">Tahani received MSc degree in Nanotechnology and Microsystems at Heriot-Watt University. She is currently studying her PhD at the University of Manchester with Prof. Paul O'Brien where her work focuses on metal chalcogenides for photovoltaic applications. </w:t>
      </w:r>
    </w:p>
    <w:p w:rsidR="00861508" w:rsidRPr="0005164C" w:rsidRDefault="00861508" w:rsidP="00861508">
      <w:pPr>
        <w:jc w:val="both"/>
        <w:rPr>
          <w:rFonts w:eastAsia="MS PGothic"/>
          <w:b/>
          <w:sz w:val="19"/>
          <w:szCs w:val="19"/>
        </w:rPr>
      </w:pPr>
      <w:r w:rsidRPr="0005164C">
        <w:rPr>
          <w:sz w:val="19"/>
          <w:szCs w:val="19"/>
        </w:rPr>
        <w:tab/>
      </w:r>
      <w:r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756222">
        <w:rPr>
          <w:sz w:val="19"/>
          <w:szCs w:val="19"/>
          <w:lang w:val="en-NZ"/>
        </w:rPr>
        <w:t xml:space="preserve"> Tahani Alqahtani</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756222">
        <w:rPr>
          <w:sz w:val="19"/>
          <w:szCs w:val="19"/>
          <w:lang w:val="en-NZ"/>
        </w:rPr>
        <w:t xml:space="preserve"> +447460126668</w:t>
      </w:r>
      <w:r w:rsidRPr="0005164C">
        <w:rPr>
          <w:sz w:val="19"/>
          <w:szCs w:val="19"/>
          <w:lang w:val="en-NZ"/>
        </w:rPr>
        <w:br/>
        <w:t>Twitter account:</w:t>
      </w:r>
      <w:r w:rsidRPr="0005164C">
        <w:rPr>
          <w:sz w:val="19"/>
          <w:szCs w:val="19"/>
          <w:lang w:val="en-NZ"/>
        </w:rPr>
        <w:br/>
        <w:t>Linked In account:</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 xml:space="preserve">Category: </w:t>
      </w:r>
      <w:r w:rsidR="00756222">
        <w:rPr>
          <w:sz w:val="19"/>
          <w:szCs w:val="19"/>
          <w:lang w:val="en-NZ"/>
        </w:rPr>
        <w:t>(</w:t>
      </w:r>
      <w:r w:rsidRPr="0005164C">
        <w:rPr>
          <w:sz w:val="19"/>
          <w:szCs w:val="19"/>
          <w:lang w:val="en-NZ"/>
        </w:rPr>
        <w:t>Poster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512A56"/>
    <w:rsid w:val="005B520E"/>
    <w:rsid w:val="005B535B"/>
    <w:rsid w:val="006108A4"/>
    <w:rsid w:val="00663E31"/>
    <w:rsid w:val="006C4648"/>
    <w:rsid w:val="0072064C"/>
    <w:rsid w:val="007442B3"/>
    <w:rsid w:val="00753F7B"/>
    <w:rsid w:val="00756222"/>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9F675D"/>
    <w:rsid w:val="00A510F7"/>
    <w:rsid w:val="00AC6519"/>
    <w:rsid w:val="00CB1404"/>
    <w:rsid w:val="00CB66E6"/>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E32971"/>
  <w15:chartTrackingRefBased/>
  <w15:docId w15:val="{92734E74-F7A2-46F3-8FEE-679C485E6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NoSpacing">
    <w:name w:val="No Spacing"/>
    <w:uiPriority w:val="1"/>
    <w:qFormat/>
    <w:rsid w:val="00512A56"/>
    <w:rPr>
      <w:rFonts w:eastAsia="Calibri"/>
      <w:sz w:val="22"/>
      <w:szCs w:val="22"/>
      <w:lang w:val="cy-GB" w:eastAsia="en-US"/>
    </w:rPr>
  </w:style>
  <w:style w:type="paragraph" w:styleId="Caption">
    <w:name w:val="caption"/>
    <w:basedOn w:val="Normal"/>
    <w:next w:val="Normal"/>
    <w:uiPriority w:val="35"/>
    <w:unhideWhenUsed/>
    <w:qFormat/>
    <w:rsid w:val="00512A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3219</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Tahani M.</cp:lastModifiedBy>
  <cp:revision>2</cp:revision>
  <dcterms:created xsi:type="dcterms:W3CDTF">2017-12-27T21:23:00Z</dcterms:created>
  <dcterms:modified xsi:type="dcterms:W3CDTF">2017-12-27T21:23:00Z</dcterms:modified>
</cp:coreProperties>
</file>