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1956AA" w14:textId="77777777" w:rsidR="000A7CDA" w:rsidRPr="000A7CDA" w:rsidRDefault="000A7CDA" w:rsidP="000A7CDA">
      <w:pPr>
        <w:pStyle w:val="Titleparagraph"/>
        <w:spacing w:after="120" w:line="240" w:lineRule="auto"/>
        <w:jc w:val="left"/>
        <w:rPr>
          <w:rFonts w:ascii="Minion Pro" w:eastAsia="Minion Pro" w:hAnsi="Minion Pro" w:cs="Minion Pro"/>
          <w:color w:val="337AB7"/>
          <w:sz w:val="36"/>
          <w:szCs w:val="36"/>
          <w:lang w:val="en-US" w:eastAsia="en-US"/>
        </w:rPr>
      </w:pPr>
      <w:r w:rsidRPr="000A7CDA">
        <w:rPr>
          <w:rFonts w:ascii="Minion Pro" w:eastAsia="Minion Pro" w:hAnsi="Minion Pro" w:cs="Minion Pro"/>
          <w:color w:val="337AB7"/>
          <w:sz w:val="36"/>
          <w:szCs w:val="36"/>
          <w:lang w:val="en-US" w:eastAsia="en-US"/>
        </w:rPr>
        <w:t>Micellar Catalysis Strategy of Cross</w:t>
      </w:r>
      <w:r w:rsidRPr="000A7CDA">
        <w:rPr>
          <w:rFonts w:ascii="Minion Pro" w:eastAsia="Minion Pro" w:hAnsi="Minion Pro" w:cs="Minion Pro"/>
          <w:color w:val="337AB7"/>
          <w:sz w:val="36"/>
          <w:szCs w:val="36"/>
          <w:lang w:val="en-US" w:eastAsia="en-US"/>
        </w:rPr>
        <w:noBreakHyphen/>
        <w:t>Condensation Reaction: The Effect of Polar Heads on the Catalytic Properties of Aminoalcohol</w:t>
      </w:r>
      <w:r w:rsidRPr="000A7CDA">
        <w:rPr>
          <w:rFonts w:ascii="Minion Pro" w:eastAsia="Minion Pro" w:hAnsi="Minion Pro" w:cs="Minion Pro"/>
          <w:color w:val="337AB7"/>
          <w:sz w:val="36"/>
          <w:szCs w:val="36"/>
          <w:lang w:val="en-US" w:eastAsia="en-US"/>
        </w:rPr>
        <w:noBreakHyphen/>
        <w:t>Based Surfactants</w:t>
      </w:r>
    </w:p>
    <w:p w14:paraId="6C09AD89" w14:textId="77777777" w:rsidR="000A7CDA" w:rsidRPr="000A7CDA" w:rsidRDefault="000A7CDA" w:rsidP="000A7CDA">
      <w:pPr>
        <w:pStyle w:val="authors"/>
        <w:jc w:val="left"/>
        <w:rPr>
          <w:rFonts w:eastAsia="Tw Cen MT" w:hAnsi="Tw Cen MT" w:cs="Tw Cen MT"/>
          <w:sz w:val="18"/>
          <w:szCs w:val="18"/>
          <w:lang w:val="en-US" w:eastAsia="en-US"/>
        </w:rPr>
      </w:pPr>
      <w:r w:rsidRPr="000A7CDA">
        <w:rPr>
          <w:rFonts w:eastAsia="Tw Cen MT" w:hAnsi="Tw Cen MT" w:cs="Tw Cen MT"/>
          <w:sz w:val="18"/>
          <w:szCs w:val="18"/>
          <w:lang w:val="en-US" w:eastAsia="en-US"/>
        </w:rPr>
        <w:t>Zakaria Hafidi</w:t>
      </w:r>
      <w:r w:rsidRPr="000A7CDA">
        <w:rPr>
          <w:rFonts w:eastAsia="Tw Cen MT" w:hAnsi="Tw Cen MT" w:cs="Tw Cen MT"/>
          <w:sz w:val="18"/>
          <w:szCs w:val="18"/>
          <w:vertAlign w:val="superscript"/>
          <w:lang w:val="en-US" w:eastAsia="en-US"/>
        </w:rPr>
        <w:t>1</w:t>
      </w:r>
      <w:proofErr w:type="gramStart"/>
      <w:r w:rsidRPr="000A7CDA">
        <w:rPr>
          <w:rFonts w:eastAsia="Tw Cen MT" w:hAnsi="Tw Cen MT" w:cs="Tw Cen MT"/>
          <w:sz w:val="18"/>
          <w:szCs w:val="18"/>
          <w:vertAlign w:val="superscript"/>
          <w:lang w:val="en-US" w:eastAsia="en-US"/>
        </w:rPr>
        <w:t>*</w:t>
      </w:r>
      <w:r w:rsidRPr="000A7CDA">
        <w:rPr>
          <w:rFonts w:eastAsia="Tw Cen MT" w:hAnsi="Tw Cen MT" w:cs="Tw Cen MT"/>
          <w:sz w:val="18"/>
          <w:szCs w:val="18"/>
          <w:lang w:val="en-US" w:eastAsia="en-US"/>
        </w:rPr>
        <w:t>,Mohamed</w:t>
      </w:r>
      <w:proofErr w:type="gramEnd"/>
      <w:r w:rsidRPr="000A7CDA">
        <w:rPr>
          <w:rFonts w:eastAsia="Tw Cen MT" w:hAnsi="Tw Cen MT" w:cs="Tw Cen MT"/>
          <w:sz w:val="18"/>
          <w:szCs w:val="18"/>
          <w:lang w:val="en-US" w:eastAsia="en-US"/>
        </w:rPr>
        <w:t> </w:t>
      </w:r>
      <w:r w:rsidRPr="000A7CDA">
        <w:rPr>
          <w:rFonts w:eastAsia="Tw Cen MT" w:hAnsi="Tw Cen MT" w:cs="Tw Cen MT"/>
          <w:sz w:val="18"/>
          <w:szCs w:val="18"/>
          <w:lang w:val="en-US" w:eastAsia="en-US"/>
        </w:rPr>
        <w:t>Ait</w:t>
      </w:r>
      <w:r w:rsidRPr="000A7CDA">
        <w:rPr>
          <w:rFonts w:eastAsia="Tw Cen MT" w:hAnsi="Tw Cen MT" w:cs="Tw Cen MT"/>
          <w:sz w:val="18"/>
          <w:szCs w:val="18"/>
          <w:lang w:val="en-US" w:eastAsia="en-US"/>
        </w:rPr>
        <w:t> </w:t>
      </w:r>
      <w:r w:rsidRPr="000A7CDA">
        <w:rPr>
          <w:rFonts w:eastAsia="Tw Cen MT" w:hAnsi="Tw Cen MT" w:cs="Tw Cen MT"/>
          <w:sz w:val="18"/>
          <w:szCs w:val="18"/>
          <w:lang w:val="en-US" w:eastAsia="en-US"/>
        </w:rPr>
        <w:t>Taleb</w:t>
      </w:r>
      <w:r w:rsidRPr="000A7CDA">
        <w:rPr>
          <w:rFonts w:eastAsia="Tw Cen MT" w:hAnsi="Tw Cen MT" w:cs="Tw Cen MT"/>
          <w:sz w:val="18"/>
          <w:szCs w:val="18"/>
          <w:vertAlign w:val="superscript"/>
          <w:lang w:val="en-US" w:eastAsia="en-US"/>
        </w:rPr>
        <w:t>2,3</w:t>
      </w:r>
      <w:r w:rsidRPr="000A7CDA">
        <w:rPr>
          <w:rFonts w:eastAsia="Tw Cen MT" w:hAnsi="Tw Cen MT" w:cs="Tw Cen MT"/>
          <w:sz w:val="18"/>
          <w:szCs w:val="18"/>
          <w:lang w:val="en-US" w:eastAsia="en-US"/>
        </w:rPr>
        <w:t>, Abdallah</w:t>
      </w:r>
      <w:r w:rsidRPr="000A7CDA">
        <w:rPr>
          <w:rFonts w:eastAsia="Tw Cen MT" w:hAnsi="Tw Cen MT" w:cs="Tw Cen MT"/>
          <w:sz w:val="18"/>
          <w:szCs w:val="18"/>
          <w:lang w:val="en-US" w:eastAsia="en-US"/>
        </w:rPr>
        <w:t> </w:t>
      </w:r>
      <w:r w:rsidRPr="000A7CDA">
        <w:rPr>
          <w:rFonts w:eastAsia="Tw Cen MT" w:hAnsi="Tw Cen MT" w:cs="Tw Cen MT"/>
          <w:sz w:val="18"/>
          <w:szCs w:val="18"/>
          <w:lang w:val="en-US" w:eastAsia="en-US"/>
        </w:rPr>
        <w:t>Amedlous</w:t>
      </w:r>
      <w:r w:rsidRPr="000A7CDA">
        <w:rPr>
          <w:rFonts w:eastAsia="Tw Cen MT" w:hAnsi="Tw Cen MT" w:cs="Tw Cen MT"/>
          <w:sz w:val="18"/>
          <w:szCs w:val="18"/>
          <w:vertAlign w:val="superscript"/>
          <w:lang w:val="en-US" w:eastAsia="en-US"/>
        </w:rPr>
        <w:t>4</w:t>
      </w:r>
      <w:r w:rsidRPr="000A7CDA">
        <w:rPr>
          <w:rFonts w:eastAsia="Tw Cen MT" w:hAnsi="Tw Cen MT" w:cs="Tw Cen MT"/>
          <w:sz w:val="18"/>
          <w:szCs w:val="18"/>
          <w:lang w:val="en-US" w:eastAsia="en-US"/>
        </w:rPr>
        <w:t xml:space="preserve"> and Mohammed</w:t>
      </w:r>
      <w:r w:rsidRPr="000A7CDA">
        <w:rPr>
          <w:rFonts w:eastAsia="Tw Cen MT" w:hAnsi="Tw Cen MT" w:cs="Tw Cen MT"/>
          <w:sz w:val="18"/>
          <w:szCs w:val="18"/>
          <w:lang w:val="en-US" w:eastAsia="en-US"/>
        </w:rPr>
        <w:t> </w:t>
      </w:r>
      <w:r w:rsidRPr="000A7CDA">
        <w:rPr>
          <w:rFonts w:eastAsia="Tw Cen MT" w:hAnsi="Tw Cen MT" w:cs="Tw Cen MT"/>
          <w:sz w:val="18"/>
          <w:szCs w:val="18"/>
          <w:lang w:val="en-US" w:eastAsia="en-US"/>
        </w:rPr>
        <w:t>El</w:t>
      </w:r>
      <w:r w:rsidRPr="000A7CDA">
        <w:rPr>
          <w:rFonts w:eastAsia="Tw Cen MT" w:hAnsi="Tw Cen MT" w:cs="Tw Cen MT"/>
          <w:sz w:val="18"/>
          <w:szCs w:val="18"/>
          <w:lang w:val="en-US" w:eastAsia="en-US"/>
        </w:rPr>
        <w:t> </w:t>
      </w:r>
      <w:r w:rsidRPr="000A7CDA">
        <w:rPr>
          <w:rFonts w:eastAsia="Tw Cen MT" w:hAnsi="Tw Cen MT" w:cs="Tw Cen MT"/>
          <w:sz w:val="18"/>
          <w:szCs w:val="18"/>
          <w:lang w:val="en-US" w:eastAsia="en-US"/>
        </w:rPr>
        <w:t>Achouri</w:t>
      </w:r>
      <w:r w:rsidRPr="000A7CDA">
        <w:rPr>
          <w:rFonts w:eastAsia="Tw Cen MT" w:hAnsi="Tw Cen MT" w:cs="Tw Cen MT"/>
          <w:sz w:val="18"/>
          <w:szCs w:val="18"/>
          <w:vertAlign w:val="superscript"/>
          <w:lang w:val="en-US" w:eastAsia="en-US"/>
        </w:rPr>
        <w:t>1</w:t>
      </w:r>
    </w:p>
    <w:p w14:paraId="4A534A7E" w14:textId="77777777" w:rsidR="000A7CDA" w:rsidRPr="000A7CDA" w:rsidRDefault="000A7CDA" w:rsidP="000A7CDA">
      <w:pPr>
        <w:pStyle w:val="authors"/>
        <w:rPr>
          <w:rFonts w:eastAsia="Tw Cen MT" w:hAnsi="Tw Cen MT" w:cs="Tw Cen MT"/>
          <w:sz w:val="18"/>
          <w:szCs w:val="18"/>
          <w:lang w:val="en-US" w:eastAsia="en-US"/>
        </w:rPr>
      </w:pPr>
    </w:p>
    <w:p w14:paraId="785DA900" w14:textId="77777777" w:rsidR="000A7CDA" w:rsidRPr="000A7CDA" w:rsidRDefault="000A7CDA" w:rsidP="000A7CDA">
      <w:pPr>
        <w:pStyle w:val="Affiliations"/>
        <w:jc w:val="left"/>
        <w:rPr>
          <w:rFonts w:eastAsia="Tw Cen MT" w:hAnsi="Tw Cen MT" w:cs="Tw Cen MT"/>
          <w:lang w:eastAsia="en-US"/>
        </w:rPr>
      </w:pPr>
      <w:r w:rsidRPr="000A7CDA">
        <w:rPr>
          <w:rFonts w:eastAsia="Tw Cen MT" w:hAnsi="Tw Cen MT" w:cs="Tw Cen MT"/>
          <w:vertAlign w:val="superscript"/>
          <w:lang w:eastAsia="en-US"/>
        </w:rPr>
        <w:t>1</w:t>
      </w:r>
      <w:r w:rsidRPr="000A7CDA">
        <w:rPr>
          <w:rFonts w:eastAsia="Tw Cen MT" w:hAnsi="Tw Cen MT" w:cs="Tw Cen MT"/>
          <w:lang w:eastAsia="en-US"/>
        </w:rPr>
        <w:t xml:space="preserve"> Laboratoire de physico-chimie des mat</w:t>
      </w:r>
      <w:r w:rsidRPr="000A7CDA">
        <w:rPr>
          <w:rFonts w:eastAsia="Tw Cen MT" w:hAnsi="Tw Cen MT" w:cs="Tw Cen MT"/>
          <w:lang w:eastAsia="en-US"/>
        </w:rPr>
        <w:t>é</w:t>
      </w:r>
      <w:r w:rsidRPr="000A7CDA">
        <w:rPr>
          <w:rFonts w:eastAsia="Tw Cen MT" w:hAnsi="Tw Cen MT" w:cs="Tw Cen MT"/>
          <w:lang w:eastAsia="en-US"/>
        </w:rPr>
        <w:t>riaux inorganiques et organiques, Centre des Sciences des Mat</w:t>
      </w:r>
      <w:r w:rsidRPr="000A7CDA">
        <w:rPr>
          <w:rFonts w:eastAsia="Tw Cen MT" w:hAnsi="Tw Cen MT" w:cs="Tw Cen MT"/>
          <w:lang w:eastAsia="en-US"/>
        </w:rPr>
        <w:t>é</w:t>
      </w:r>
      <w:r w:rsidRPr="000A7CDA">
        <w:rPr>
          <w:rFonts w:eastAsia="Tw Cen MT" w:hAnsi="Tw Cen MT" w:cs="Tw Cen MT"/>
          <w:lang w:eastAsia="en-US"/>
        </w:rPr>
        <w:t>riaux, Ecole Normale sup</w:t>
      </w:r>
      <w:r w:rsidRPr="000A7CDA">
        <w:rPr>
          <w:rFonts w:eastAsia="Tw Cen MT" w:hAnsi="Tw Cen MT" w:cs="Tw Cen MT"/>
          <w:lang w:eastAsia="en-US"/>
        </w:rPr>
        <w:t>é</w:t>
      </w:r>
      <w:r w:rsidRPr="000A7CDA">
        <w:rPr>
          <w:rFonts w:eastAsia="Tw Cen MT" w:hAnsi="Tw Cen MT" w:cs="Tw Cen MT"/>
          <w:lang w:eastAsia="en-US"/>
        </w:rPr>
        <w:t>rieure-Rabat, Mohammed V University in</w:t>
      </w:r>
      <w:r w:rsidRPr="000A7CDA">
        <w:rPr>
          <w:rFonts w:eastAsia="Tw Cen MT" w:hAnsi="Tw Cen MT" w:cs="Tw Cen MT"/>
          <w:lang w:eastAsia="en-US"/>
        </w:rPr>
        <w:t> </w:t>
      </w:r>
      <w:r w:rsidRPr="000A7CDA">
        <w:rPr>
          <w:rFonts w:eastAsia="Tw Cen MT" w:hAnsi="Tw Cen MT" w:cs="Tw Cen MT"/>
          <w:lang w:eastAsia="en-US"/>
        </w:rPr>
        <w:t>Rabat.</w:t>
      </w:r>
    </w:p>
    <w:p w14:paraId="3C294E0D" w14:textId="77777777" w:rsidR="000A7CDA" w:rsidRPr="000A7CDA" w:rsidRDefault="000A7CDA" w:rsidP="000A7CDA">
      <w:pPr>
        <w:pStyle w:val="Affiliations"/>
        <w:jc w:val="left"/>
        <w:rPr>
          <w:rFonts w:eastAsia="Tw Cen MT" w:hAnsi="Tw Cen MT" w:cs="Tw Cen MT"/>
          <w:lang w:eastAsia="en-US"/>
        </w:rPr>
      </w:pPr>
      <w:r w:rsidRPr="000A7CDA">
        <w:rPr>
          <w:rFonts w:eastAsia="Tw Cen MT" w:hAnsi="Tw Cen MT" w:cs="Tw Cen MT"/>
          <w:vertAlign w:val="superscript"/>
          <w:lang w:eastAsia="en-US"/>
        </w:rPr>
        <w:t>2</w:t>
      </w:r>
      <w:r w:rsidRPr="000A7CDA">
        <w:rPr>
          <w:rFonts w:eastAsia="Tw Cen MT" w:hAnsi="Tw Cen MT" w:cs="Tw Cen MT"/>
          <w:lang w:eastAsia="en-US"/>
        </w:rPr>
        <w:t xml:space="preserve"> Equipe de Mat</w:t>
      </w:r>
      <w:r w:rsidRPr="000A7CDA">
        <w:rPr>
          <w:rFonts w:eastAsia="Tw Cen MT" w:hAnsi="Tw Cen MT" w:cs="Tw Cen MT"/>
          <w:lang w:eastAsia="en-US"/>
        </w:rPr>
        <w:t>é</w:t>
      </w:r>
      <w:r w:rsidRPr="000A7CDA">
        <w:rPr>
          <w:rFonts w:eastAsia="Tw Cen MT" w:hAnsi="Tw Cen MT" w:cs="Tw Cen MT"/>
          <w:lang w:eastAsia="en-US"/>
        </w:rPr>
        <w:t>riaux, Catalyse &amp; Valorisation des Ressources Naturelles, Universit</w:t>
      </w:r>
      <w:r w:rsidRPr="000A7CDA">
        <w:rPr>
          <w:rFonts w:eastAsia="Tw Cen MT" w:hAnsi="Tw Cen MT" w:cs="Tw Cen MT"/>
          <w:lang w:eastAsia="en-US"/>
        </w:rPr>
        <w:t>é</w:t>
      </w:r>
      <w:r w:rsidRPr="000A7CDA">
        <w:rPr>
          <w:rFonts w:eastAsia="Tw Cen MT" w:hAnsi="Tw Cen MT" w:cs="Tw Cen MT"/>
          <w:lang w:eastAsia="en-US"/>
        </w:rPr>
        <w:t xml:space="preserve"> Ibn Zohr, BP 8106, 80000</w:t>
      </w:r>
      <w:r w:rsidRPr="000A7CDA">
        <w:rPr>
          <w:rFonts w:eastAsia="Tw Cen MT" w:hAnsi="Tw Cen MT" w:cs="Tw Cen MT"/>
          <w:lang w:eastAsia="en-US"/>
        </w:rPr>
        <w:t> </w:t>
      </w:r>
      <w:r w:rsidRPr="000A7CDA">
        <w:rPr>
          <w:rFonts w:eastAsia="Tw Cen MT" w:hAnsi="Tw Cen MT" w:cs="Tw Cen MT"/>
          <w:lang w:eastAsia="en-US"/>
        </w:rPr>
        <w:t>Agadir, Morocco.</w:t>
      </w:r>
    </w:p>
    <w:p w14:paraId="70AB3A8F" w14:textId="77777777" w:rsidR="000A7CDA" w:rsidRPr="000A7CDA" w:rsidRDefault="000A7CDA" w:rsidP="000A7CDA">
      <w:pPr>
        <w:pStyle w:val="Affiliations"/>
        <w:jc w:val="left"/>
        <w:rPr>
          <w:rFonts w:eastAsia="Tw Cen MT" w:hAnsi="Tw Cen MT" w:cs="Tw Cen MT"/>
          <w:lang w:val="fr-FR" w:eastAsia="en-US"/>
        </w:rPr>
      </w:pPr>
      <w:r w:rsidRPr="000A7CDA">
        <w:rPr>
          <w:rFonts w:eastAsia="Tw Cen MT" w:hAnsi="Tw Cen MT" w:cs="Tw Cen MT"/>
          <w:vertAlign w:val="superscript"/>
          <w:lang w:val="fr-FR" w:eastAsia="en-US"/>
        </w:rPr>
        <w:t>3</w:t>
      </w:r>
      <w:r w:rsidRPr="000A7CDA">
        <w:rPr>
          <w:rFonts w:eastAsia="Tw Cen MT" w:hAnsi="Tw Cen MT" w:cs="Tw Cen MT"/>
          <w:lang w:val="fr-FR" w:eastAsia="en-US"/>
        </w:rPr>
        <w:t xml:space="preserve"> Equipe de Chimie Bio-Organique Appliqu</w:t>
      </w:r>
      <w:r w:rsidRPr="000A7CDA">
        <w:rPr>
          <w:rFonts w:eastAsia="Tw Cen MT" w:hAnsi="Tw Cen MT" w:cs="Tw Cen MT"/>
          <w:lang w:val="fr-FR" w:eastAsia="en-US"/>
        </w:rPr>
        <w:t>é</w:t>
      </w:r>
      <w:r w:rsidRPr="000A7CDA">
        <w:rPr>
          <w:rFonts w:eastAsia="Tw Cen MT" w:hAnsi="Tw Cen MT" w:cs="Tw Cen MT"/>
          <w:lang w:val="fr-FR" w:eastAsia="en-US"/>
        </w:rPr>
        <w:t>e, Universit</w:t>
      </w:r>
      <w:r w:rsidRPr="000A7CDA">
        <w:rPr>
          <w:rFonts w:eastAsia="Tw Cen MT" w:hAnsi="Tw Cen MT" w:cs="Tw Cen MT"/>
          <w:lang w:val="fr-FR" w:eastAsia="en-US"/>
        </w:rPr>
        <w:t>é</w:t>
      </w:r>
      <w:r w:rsidRPr="000A7CDA">
        <w:rPr>
          <w:rFonts w:eastAsia="Tw Cen MT" w:hAnsi="Tw Cen MT" w:cs="Tw Cen MT"/>
          <w:lang w:val="fr-FR" w:eastAsia="en-US"/>
        </w:rPr>
        <w:t xml:space="preserve"> Ibn </w:t>
      </w:r>
      <w:proofErr w:type="spellStart"/>
      <w:r w:rsidRPr="000A7CDA">
        <w:rPr>
          <w:rFonts w:eastAsia="Tw Cen MT" w:hAnsi="Tw Cen MT" w:cs="Tw Cen MT"/>
          <w:lang w:val="fr-FR" w:eastAsia="en-US"/>
        </w:rPr>
        <w:t>Zohr</w:t>
      </w:r>
      <w:proofErr w:type="spellEnd"/>
      <w:r w:rsidRPr="000A7CDA">
        <w:rPr>
          <w:rFonts w:eastAsia="Tw Cen MT" w:hAnsi="Tw Cen MT" w:cs="Tw Cen MT"/>
          <w:lang w:val="fr-FR" w:eastAsia="en-US"/>
        </w:rPr>
        <w:t>, BP 8106, 80000</w:t>
      </w:r>
      <w:r w:rsidRPr="000A7CDA">
        <w:rPr>
          <w:rFonts w:eastAsia="Tw Cen MT" w:hAnsi="Tw Cen MT" w:cs="Tw Cen MT"/>
          <w:lang w:val="fr-FR" w:eastAsia="en-US"/>
        </w:rPr>
        <w:t> </w:t>
      </w:r>
      <w:r w:rsidRPr="000A7CDA">
        <w:rPr>
          <w:rFonts w:eastAsia="Tw Cen MT" w:hAnsi="Tw Cen MT" w:cs="Tw Cen MT"/>
          <w:lang w:val="fr-FR" w:eastAsia="en-US"/>
        </w:rPr>
        <w:t>Agadir, Morocco</w:t>
      </w:r>
    </w:p>
    <w:p w14:paraId="1300504B" w14:textId="50B5FCAC" w:rsidR="000A7CDA" w:rsidRPr="000A7CDA" w:rsidRDefault="000A7CDA" w:rsidP="000A7CDA">
      <w:pPr>
        <w:pStyle w:val="Affiliations"/>
        <w:jc w:val="left"/>
        <w:rPr>
          <w:rFonts w:eastAsia="Tw Cen MT" w:hAnsi="Tw Cen MT" w:cs="Tw Cen MT"/>
          <w:lang w:eastAsia="en-US"/>
        </w:rPr>
      </w:pPr>
      <w:r w:rsidRPr="000A7CDA">
        <w:rPr>
          <w:rFonts w:eastAsia="Tw Cen MT" w:hAnsi="Tw Cen MT" w:cs="Tw Cen MT"/>
          <w:vertAlign w:val="superscript"/>
          <w:lang w:eastAsia="en-US"/>
        </w:rPr>
        <w:t>4</w:t>
      </w:r>
      <w:r w:rsidRPr="000A7CDA">
        <w:rPr>
          <w:rFonts w:eastAsia="Tw Cen MT" w:hAnsi="Tw Cen MT" w:cs="Tw Cen MT"/>
          <w:lang w:eastAsia="en-US"/>
        </w:rPr>
        <w:t xml:space="preserve"> Laboratoire de Mat</w:t>
      </w:r>
      <w:r w:rsidRPr="000A7CDA">
        <w:rPr>
          <w:rFonts w:eastAsia="Tw Cen MT" w:hAnsi="Tw Cen MT" w:cs="Tw Cen MT"/>
          <w:lang w:eastAsia="en-US"/>
        </w:rPr>
        <w:t>é</w:t>
      </w:r>
      <w:r w:rsidRPr="000A7CDA">
        <w:rPr>
          <w:rFonts w:eastAsia="Tw Cen MT" w:hAnsi="Tw Cen MT" w:cs="Tw Cen MT"/>
          <w:lang w:eastAsia="en-US"/>
        </w:rPr>
        <w:t>riaux, Catalyse et Valorisation des Ressources Naturelles, URAC 24, FST Mohammadia, Universit</w:t>
      </w:r>
      <w:r w:rsidRPr="000A7CDA">
        <w:rPr>
          <w:rFonts w:eastAsia="Tw Cen MT" w:hAnsi="Tw Cen MT" w:cs="Tw Cen MT"/>
          <w:lang w:eastAsia="en-US"/>
        </w:rPr>
        <w:t>é</w:t>
      </w:r>
      <w:r w:rsidRPr="000A7CDA">
        <w:rPr>
          <w:rFonts w:eastAsia="Tw Cen MT" w:hAnsi="Tw Cen MT" w:cs="Tw Cen MT"/>
          <w:lang w:eastAsia="en-US"/>
        </w:rPr>
        <w:t xml:space="preserve"> Hassan</w:t>
      </w:r>
      <w:r w:rsidRPr="000A7CDA">
        <w:rPr>
          <w:rFonts w:eastAsia="Tw Cen MT" w:hAnsi="Tw Cen MT" w:cs="Tw Cen MT"/>
          <w:b/>
          <w:bCs/>
          <w:lang w:val="fr-FR"/>
        </w:rPr>
        <w:t xml:space="preserve"> </w:t>
      </w:r>
      <w:r w:rsidRPr="000A7CDA">
        <w:rPr>
          <w:rFonts w:eastAsia="Tw Cen MT" w:hAnsi="Tw Cen MT" w:cs="Tw Cen MT"/>
          <w:lang w:eastAsia="en-US"/>
        </w:rPr>
        <w:t>II-Casablanca, Casablanca, Morocco</w:t>
      </w:r>
    </w:p>
    <w:p w14:paraId="5CC1ECDD" w14:textId="77777777" w:rsidR="00AE3E37" w:rsidRDefault="00AE3E37">
      <w:pPr>
        <w:pStyle w:val="BodyText"/>
        <w:spacing w:before="3"/>
        <w:rPr>
          <w:rFonts w:ascii="Arial"/>
          <w:sz w:val="21"/>
        </w:rPr>
      </w:pPr>
    </w:p>
    <w:p w14:paraId="16A8C9C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451BBEB" w14:textId="175EFDF9" w:rsidR="00AE3E37" w:rsidRDefault="00A9710C">
      <w:pPr>
        <w:pStyle w:val="Heading3"/>
        <w:spacing w:before="147"/>
        <w:jc w:val="both"/>
      </w:pPr>
      <w:r>
        <w:rPr>
          <w:color w:val="BF5A14"/>
        </w:rPr>
        <w:t>Abstract</w:t>
      </w:r>
      <w:r w:rsidR="00404E5B">
        <w:rPr>
          <w:color w:val="BF5A14"/>
        </w:rPr>
        <w:t xml:space="preserve"> </w:t>
      </w:r>
    </w:p>
    <w:p w14:paraId="2EA32467" w14:textId="062DA4B9" w:rsidR="00AE3E37" w:rsidRDefault="000A7CDA" w:rsidP="000A7CDA">
      <w:pPr>
        <w:pStyle w:val="BodyText"/>
        <w:spacing w:before="90" w:line="280" w:lineRule="auto"/>
        <w:ind w:left="100"/>
        <w:jc w:val="both"/>
      </w:pPr>
      <w:r w:rsidRPr="000A7CDA">
        <w:t>The effect of the polar head and the concentration of quaternary ammonium surfactants (C</w:t>
      </w:r>
      <w:r w:rsidRPr="000A7CDA">
        <w:rPr>
          <w:vertAlign w:val="subscript"/>
        </w:rPr>
        <w:t>14</w:t>
      </w:r>
      <w:r w:rsidRPr="000A7CDA">
        <w:t>EtOH, C</w:t>
      </w:r>
      <w:r w:rsidRPr="000A7CDA">
        <w:rPr>
          <w:vertAlign w:val="subscript"/>
        </w:rPr>
        <w:t>14</w:t>
      </w:r>
      <w:r w:rsidRPr="000A7CDA">
        <w:t>iPrOH, C</w:t>
      </w:r>
      <w:r w:rsidRPr="000A7CDA">
        <w:rPr>
          <w:vertAlign w:val="subscript"/>
        </w:rPr>
        <w:t>14</w:t>
      </w:r>
      <w:r w:rsidRPr="000A7CDA">
        <w:t xml:space="preserve">PrOH, where, 14 = carbon number </w:t>
      </w:r>
      <w:proofErr w:type="spellStart"/>
      <w:r w:rsidRPr="000A7CDA">
        <w:t>iPrOH</w:t>
      </w:r>
      <w:proofErr w:type="spellEnd"/>
      <w:r w:rsidRPr="000A7CDA">
        <w:t xml:space="preserve"> = iso-propanol, EtOH = ethanol, </w:t>
      </w:r>
      <w:proofErr w:type="spellStart"/>
      <w:r w:rsidRPr="000A7CDA">
        <w:t>PrOH</w:t>
      </w:r>
      <w:proofErr w:type="spellEnd"/>
      <w:r w:rsidRPr="000A7CDA">
        <w:t xml:space="preserve"> = propanol) in micellar catalysis for the cross-condensation reaction (Claisen–Schmidt) was investigated. The reaction in the Micellar-NaOH system with different </w:t>
      </w:r>
      <w:proofErr w:type="spellStart"/>
      <w:r w:rsidRPr="000A7CDA">
        <w:t>concen-trations</w:t>
      </w:r>
      <w:proofErr w:type="spellEnd"/>
      <w:r w:rsidRPr="000A7CDA">
        <w:t xml:space="preserve"> of surfactants above the critical micelle concentration from 15 to 30 mmol between benzaldehyde and acetophenone was used as a model of reaction for this study. The examination of the effectiveness of the catalytic activity reveals that the compound C</w:t>
      </w:r>
      <w:r w:rsidRPr="000A7CDA">
        <w:rPr>
          <w:vertAlign w:val="subscript"/>
        </w:rPr>
        <w:t>14</w:t>
      </w:r>
      <w:r w:rsidRPr="000A7CDA">
        <w:t>EtOH has the best yield (80% of the desired product), followed by C</w:t>
      </w:r>
      <w:r w:rsidRPr="000A7CDA">
        <w:rPr>
          <w:vertAlign w:val="subscript"/>
        </w:rPr>
        <w:t>14</w:t>
      </w:r>
      <w:r w:rsidRPr="000A7CDA">
        <w:t>iPrOH and C</w:t>
      </w:r>
      <w:r w:rsidRPr="000A7CDA">
        <w:rPr>
          <w:vertAlign w:val="subscript"/>
        </w:rPr>
        <w:t>14</w:t>
      </w:r>
      <w:r w:rsidRPr="000A7CDA">
        <w:t>PrOH. The results were interpreted according to the solubilization capacity, droplet size analysis of reagents (benzaldehyde and acetophenone) in the micellar medium and stability of reaction intermediate (enolate) by the electrostatic interactions generated by positive charge of N</w:t>
      </w:r>
      <w:r w:rsidRPr="000A7CDA">
        <w:rPr>
          <w:vertAlign w:val="superscript"/>
        </w:rPr>
        <w:t>+</w:t>
      </w:r>
      <w:r w:rsidRPr="000A7CDA">
        <w:t xml:space="preserve"> quaternary ammonium atom. Therefore, the quantum calculations carried out by DFT method for surfactants in the aqueous medium, show that electrophilicity degree and the reaction yield% for three cationic surfactants varies in the same following order:  C</w:t>
      </w:r>
      <w:r w:rsidRPr="000A7CDA">
        <w:rPr>
          <w:vertAlign w:val="subscript"/>
        </w:rPr>
        <w:t>14</w:t>
      </w:r>
      <w:r w:rsidRPr="000A7CDA">
        <w:t>PrOH &lt; C</w:t>
      </w:r>
      <w:r w:rsidRPr="000A7CDA">
        <w:rPr>
          <w:vertAlign w:val="subscript"/>
        </w:rPr>
        <w:t>14</w:t>
      </w:r>
      <w:r w:rsidRPr="000A7CDA">
        <w:t>iPrOH &lt; C</w:t>
      </w:r>
      <w:r w:rsidRPr="000A7CDA">
        <w:rPr>
          <w:vertAlign w:val="subscript"/>
        </w:rPr>
        <w:t>14</w:t>
      </w:r>
      <w:r w:rsidRPr="000A7CDA">
        <w:t>EtOH.</w:t>
      </w:r>
      <w:r>
        <w:rPr>
          <w:rFonts w:ascii="Times New Roman" w:hAnsi="Times New Roman" w:cs="Times New Roman"/>
          <w:sz w:val="24"/>
          <w:szCs w:val="24"/>
        </w:rPr>
        <w:t xml:space="preserve"> </w:t>
      </w:r>
    </w:p>
    <w:p w14:paraId="43B84AD3" w14:textId="508812AD" w:rsidR="00AE3E37" w:rsidRDefault="00A9710C">
      <w:pPr>
        <w:pStyle w:val="Heading3"/>
        <w:spacing w:before="74"/>
      </w:pPr>
      <w:r>
        <w:rPr>
          <w:b w:val="0"/>
        </w:rPr>
        <w:br w:type="column"/>
      </w:r>
      <w:r>
        <w:rPr>
          <w:color w:val="BF5A14"/>
        </w:rPr>
        <w:t>Image</w:t>
      </w:r>
    </w:p>
    <w:p w14:paraId="101B5E77" w14:textId="2160FD52" w:rsidR="00AE3E37" w:rsidRDefault="000A7CDA" w:rsidP="000A7CDA">
      <w:pPr>
        <w:pStyle w:val="BodyText"/>
        <w:spacing w:before="2"/>
        <w:ind w:firstLine="284"/>
        <w:rPr>
          <w:rFonts w:ascii="Arial"/>
          <w:b/>
          <w:sz w:val="16"/>
        </w:rPr>
      </w:pPr>
      <w:r>
        <w:rPr>
          <w:noProof/>
        </w:rPr>
        <w:drawing>
          <wp:inline distT="0" distB="0" distL="0" distR="0" wp14:anchorId="20E2F6E7" wp14:editId="26F23AF5">
            <wp:extent cx="3165475" cy="251587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515870"/>
                    </a:xfrm>
                    <a:prstGeom prst="rect">
                      <a:avLst/>
                    </a:prstGeom>
                    <a:noFill/>
                    <a:ln>
                      <a:noFill/>
                    </a:ln>
                  </pic:spPr>
                </pic:pic>
              </a:graphicData>
            </a:graphic>
          </wp:inline>
        </w:drawing>
      </w:r>
    </w:p>
    <w:p w14:paraId="0503BE9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D3443E1" w14:textId="77777777" w:rsidR="000A7CDA" w:rsidRDefault="000A7CDA" w:rsidP="000A7CDA">
      <w:pPr>
        <w:pStyle w:val="ListParagraph"/>
        <w:widowControl/>
        <w:numPr>
          <w:ilvl w:val="0"/>
          <w:numId w:val="4"/>
        </w:numPr>
        <w:spacing w:before="0" w:after="160" w:line="240" w:lineRule="auto"/>
        <w:ind w:left="426" w:hanging="426"/>
        <w:contextualSpacing/>
        <w:rPr>
          <w:rFonts w:ascii="Times New Roman" w:eastAsia="TimesNewRoman" w:hAnsi="Times New Roman"/>
          <w:sz w:val="18"/>
          <w:szCs w:val="18"/>
        </w:rPr>
      </w:pPr>
      <w:r>
        <w:rPr>
          <w:rFonts w:ascii="Times New Roman" w:eastAsia="TimesNewRoman" w:hAnsi="Times New Roman"/>
          <w:sz w:val="18"/>
          <w:szCs w:val="18"/>
        </w:rPr>
        <w:t xml:space="preserve">B.S. </w:t>
      </w:r>
      <w:proofErr w:type="spellStart"/>
      <w:r>
        <w:rPr>
          <w:rFonts w:ascii="Times New Roman" w:eastAsia="TimesNewRoman" w:hAnsi="Times New Roman"/>
          <w:sz w:val="18"/>
          <w:szCs w:val="18"/>
        </w:rPr>
        <w:t>Kitawat</w:t>
      </w:r>
      <w:proofErr w:type="spellEnd"/>
      <w:r>
        <w:rPr>
          <w:rFonts w:ascii="Times New Roman" w:eastAsia="TimesNewRoman" w:hAnsi="Times New Roman"/>
          <w:sz w:val="18"/>
          <w:szCs w:val="18"/>
        </w:rPr>
        <w:t>, M. Singh, R.K. Kale, Robust Cationic Quaternary Ammonium Surfactant-Catalyzed Condensation Reaction for (E)</w:t>
      </w:r>
      <w:r>
        <w:rPr>
          <w:rFonts w:ascii="Times New Roman" w:eastAsia="TimesNewRoman" w:hAnsi="Times New Roman"/>
          <w:sz w:val="18"/>
          <w:szCs w:val="18"/>
        </w:rPr>
        <w:noBreakHyphen/>
        <w:t xml:space="preserve">3-Aryl-1-(3-alkyl-2-pyrazinyl)-2- </w:t>
      </w:r>
      <w:proofErr w:type="spellStart"/>
      <w:r>
        <w:rPr>
          <w:rFonts w:ascii="Times New Roman" w:eastAsia="TimesNewRoman" w:hAnsi="Times New Roman"/>
          <w:sz w:val="18"/>
          <w:szCs w:val="18"/>
        </w:rPr>
        <w:t>propenone</w:t>
      </w:r>
      <w:proofErr w:type="spellEnd"/>
      <w:r>
        <w:rPr>
          <w:rFonts w:ascii="Times New Roman" w:eastAsia="TimesNewRoman" w:hAnsi="Times New Roman"/>
          <w:sz w:val="18"/>
          <w:szCs w:val="18"/>
        </w:rPr>
        <w:t xml:space="preserve"> Synthesis in Water at Room Temperature, ACS Sustainable Chem Eng. 1 (2013) 1040–1044. doi:10.1021/sc400102e.</w:t>
      </w:r>
    </w:p>
    <w:p w14:paraId="346998E8" w14:textId="77777777" w:rsidR="000A7CDA" w:rsidRDefault="000A7CDA" w:rsidP="000A7CDA">
      <w:pPr>
        <w:pStyle w:val="ListParagraph"/>
        <w:widowControl/>
        <w:numPr>
          <w:ilvl w:val="0"/>
          <w:numId w:val="4"/>
        </w:numPr>
        <w:spacing w:before="0" w:after="160" w:line="240" w:lineRule="auto"/>
        <w:ind w:left="426" w:hanging="426"/>
        <w:contextualSpacing/>
        <w:rPr>
          <w:rFonts w:ascii="Times New Roman" w:hAnsi="Times New Roman"/>
          <w:sz w:val="18"/>
          <w:szCs w:val="18"/>
          <w:lang w:val="fr-FR"/>
        </w:rPr>
      </w:pPr>
      <w:r>
        <w:rPr>
          <w:rFonts w:ascii="Times New Roman" w:hAnsi="Times New Roman"/>
          <w:sz w:val="18"/>
          <w:szCs w:val="18"/>
        </w:rPr>
        <w:t xml:space="preserve">M. </w:t>
      </w:r>
      <w:proofErr w:type="spellStart"/>
      <w:r>
        <w:rPr>
          <w:rFonts w:ascii="Times New Roman" w:hAnsi="Times New Roman"/>
          <w:sz w:val="18"/>
          <w:szCs w:val="18"/>
        </w:rPr>
        <w:t>Vashishtha</w:t>
      </w:r>
      <w:proofErr w:type="spellEnd"/>
      <w:r>
        <w:rPr>
          <w:rFonts w:ascii="Times New Roman" w:hAnsi="Times New Roman"/>
          <w:sz w:val="18"/>
          <w:szCs w:val="18"/>
        </w:rPr>
        <w:t xml:space="preserve">, M. Mishra, D.O. Shah, </w:t>
      </w:r>
      <w:proofErr w:type="spellStart"/>
      <w:r>
        <w:rPr>
          <w:rFonts w:ascii="Times New Roman" w:hAnsi="Times New Roman"/>
          <w:sz w:val="18"/>
          <w:szCs w:val="18"/>
        </w:rPr>
        <w:t>Organobase</w:t>
      </w:r>
      <w:proofErr w:type="spellEnd"/>
      <w:r>
        <w:rPr>
          <w:rFonts w:ascii="Times New Roman" w:hAnsi="Times New Roman"/>
          <w:sz w:val="18"/>
          <w:szCs w:val="18"/>
        </w:rPr>
        <w:t xml:space="preserve"> catalysis using 1-(2-pyrimidyl) piperazine in micellar medium: An approach for better performance and reusability of </w:t>
      </w:r>
      <w:proofErr w:type="spellStart"/>
      <w:r>
        <w:rPr>
          <w:rFonts w:ascii="Times New Roman" w:hAnsi="Times New Roman"/>
          <w:sz w:val="18"/>
          <w:szCs w:val="18"/>
        </w:rPr>
        <w:t>organobase</w:t>
      </w:r>
      <w:proofErr w:type="spellEnd"/>
      <w:r>
        <w:rPr>
          <w:rFonts w:ascii="Times New Roman" w:hAnsi="Times New Roman"/>
          <w:sz w:val="18"/>
          <w:szCs w:val="18"/>
        </w:rPr>
        <w:t xml:space="preserve">, Green Chemistry. </w:t>
      </w:r>
      <w:r>
        <w:rPr>
          <w:rFonts w:ascii="Times New Roman" w:hAnsi="Times New Roman"/>
          <w:sz w:val="18"/>
          <w:szCs w:val="18"/>
          <w:lang w:val="fr-FR"/>
        </w:rPr>
        <w:t xml:space="preserve">18 (2015) 1339–1354. </w:t>
      </w:r>
      <w:proofErr w:type="gramStart"/>
      <w:r>
        <w:rPr>
          <w:rFonts w:ascii="Times New Roman" w:hAnsi="Times New Roman"/>
          <w:sz w:val="18"/>
          <w:szCs w:val="18"/>
          <w:lang w:val="fr-FR"/>
        </w:rPr>
        <w:t>doi:</w:t>
      </w:r>
      <w:proofErr w:type="gramEnd"/>
      <w:r>
        <w:rPr>
          <w:rFonts w:ascii="Times New Roman" w:hAnsi="Times New Roman"/>
          <w:sz w:val="18"/>
          <w:szCs w:val="18"/>
          <w:lang w:val="fr-FR"/>
        </w:rPr>
        <w:t>10.1039/C5GC01966D.</w:t>
      </w:r>
    </w:p>
    <w:p w14:paraId="6A5C183D" w14:textId="77777777" w:rsidR="000A7CDA" w:rsidRPr="000A7CDA" w:rsidRDefault="000A7CDA" w:rsidP="000A7CDA">
      <w:pPr>
        <w:pStyle w:val="ListParagraph"/>
        <w:widowControl/>
        <w:numPr>
          <w:ilvl w:val="0"/>
          <w:numId w:val="4"/>
        </w:numPr>
        <w:spacing w:before="0" w:after="160" w:line="240" w:lineRule="auto"/>
        <w:ind w:left="426" w:hanging="426"/>
        <w:contextualSpacing/>
        <w:rPr>
          <w:rFonts w:ascii="Times New Roman" w:eastAsia="TimesNewRoman" w:hAnsi="Times New Roman"/>
          <w:sz w:val="18"/>
          <w:szCs w:val="18"/>
        </w:rPr>
      </w:pPr>
      <w:proofErr w:type="spellStart"/>
      <w:r w:rsidRPr="000A7CDA">
        <w:rPr>
          <w:rFonts w:ascii="Times New Roman" w:eastAsia="TimesNewRoman" w:hAnsi="Times New Roman"/>
          <w:sz w:val="18"/>
          <w:szCs w:val="18"/>
        </w:rPr>
        <w:t>Grieco</w:t>
      </w:r>
      <w:proofErr w:type="spellEnd"/>
      <w:r w:rsidRPr="000A7CDA">
        <w:rPr>
          <w:rFonts w:ascii="Times New Roman" w:eastAsia="TimesNewRoman" w:hAnsi="Times New Roman"/>
          <w:sz w:val="18"/>
          <w:szCs w:val="18"/>
        </w:rPr>
        <w:t xml:space="preserve">, Paul A., Philip Garner, and Zhen-min He. "“Micellar” catalysis in the aqueous intermolecular </w:t>
      </w:r>
      <w:proofErr w:type="spellStart"/>
      <w:r w:rsidRPr="000A7CDA">
        <w:rPr>
          <w:rFonts w:ascii="Times New Roman" w:eastAsia="TimesNewRoman" w:hAnsi="Times New Roman"/>
          <w:sz w:val="18"/>
          <w:szCs w:val="18"/>
        </w:rPr>
        <w:t>diels</w:t>
      </w:r>
      <w:proofErr w:type="spellEnd"/>
      <w:r w:rsidRPr="000A7CDA">
        <w:rPr>
          <w:rFonts w:ascii="Times New Roman" w:eastAsia="TimesNewRoman" w:hAnsi="Times New Roman"/>
          <w:sz w:val="18"/>
          <w:szCs w:val="18"/>
        </w:rPr>
        <w:t>-alder reaction: rate acceleration and enhanced selectivity." Tetrahedron Letters 24.18 (1983): 1897-1900.</w:t>
      </w:r>
    </w:p>
    <w:p w14:paraId="3F8150C9" w14:textId="77777777" w:rsidR="000A7CDA" w:rsidRDefault="000A7CDA" w:rsidP="000A7CDA">
      <w:pPr>
        <w:pStyle w:val="ListParagraph"/>
        <w:widowControl/>
        <w:numPr>
          <w:ilvl w:val="0"/>
          <w:numId w:val="4"/>
        </w:numPr>
        <w:spacing w:before="0" w:after="160" w:line="240" w:lineRule="auto"/>
        <w:ind w:left="426" w:hanging="426"/>
        <w:contextualSpacing/>
        <w:rPr>
          <w:rFonts w:ascii="Times New Roman" w:eastAsia="TimesNewRoman" w:hAnsi="Times New Roman"/>
          <w:sz w:val="18"/>
          <w:szCs w:val="18"/>
        </w:rPr>
      </w:pPr>
      <w:r w:rsidRPr="000A7CDA">
        <w:rPr>
          <w:rFonts w:ascii="Times New Roman" w:eastAsia="TimesNewRoman" w:hAnsi="Times New Roman"/>
          <w:sz w:val="18"/>
          <w:szCs w:val="18"/>
        </w:rPr>
        <w:t xml:space="preserve">Holmberg, </w:t>
      </w:r>
      <w:proofErr w:type="spellStart"/>
      <w:r w:rsidRPr="000A7CDA">
        <w:rPr>
          <w:rFonts w:ascii="Times New Roman" w:eastAsia="TimesNewRoman" w:hAnsi="Times New Roman"/>
          <w:sz w:val="18"/>
          <w:szCs w:val="18"/>
        </w:rPr>
        <w:t>Krister</w:t>
      </w:r>
      <w:proofErr w:type="spellEnd"/>
      <w:r w:rsidRPr="000A7CDA">
        <w:rPr>
          <w:rFonts w:ascii="Times New Roman" w:eastAsia="TimesNewRoman" w:hAnsi="Times New Roman"/>
          <w:sz w:val="18"/>
          <w:szCs w:val="18"/>
        </w:rPr>
        <w:t>. "Organic reactions in microemulsions." Current opinion in colloid &amp; interface science 8.2 (2003): 187-196.</w:t>
      </w:r>
    </w:p>
    <w:p w14:paraId="3E4CC46C" w14:textId="5F050CAE" w:rsidR="000A7CDA" w:rsidRPr="000A7CDA" w:rsidRDefault="008756E6" w:rsidP="000A7CDA">
      <w:pPr>
        <w:pStyle w:val="ListParagraph"/>
        <w:widowControl/>
        <w:numPr>
          <w:ilvl w:val="0"/>
          <w:numId w:val="4"/>
        </w:numPr>
        <w:spacing w:before="0" w:after="160" w:line="240" w:lineRule="auto"/>
        <w:ind w:left="426" w:hanging="426"/>
        <w:contextualSpacing/>
        <w:rPr>
          <w:rFonts w:ascii="Times New Roman" w:eastAsia="TimesNewRoman" w:hAnsi="Times New Roman"/>
          <w:sz w:val="18"/>
          <w:szCs w:val="18"/>
        </w:rPr>
      </w:pPr>
      <w:r w:rsidRPr="000A7CDA">
        <w:rPr>
          <w:lang w:val="fr-FR"/>
        </w:rPr>
        <w:t xml:space="preserve"> </w:t>
      </w:r>
      <w:proofErr w:type="spellStart"/>
      <w:r w:rsidR="000A7CDA" w:rsidRPr="000A7CDA">
        <w:rPr>
          <w:rFonts w:ascii="Times New Roman" w:eastAsia="TimesNewRoman" w:hAnsi="Times New Roman"/>
          <w:sz w:val="18"/>
          <w:szCs w:val="18"/>
          <w:lang w:val="fr-FR"/>
        </w:rPr>
        <w:t>Zayas</w:t>
      </w:r>
      <w:proofErr w:type="spellEnd"/>
      <w:r w:rsidR="000A7CDA" w:rsidRPr="000A7CDA">
        <w:rPr>
          <w:rFonts w:ascii="Times New Roman" w:eastAsia="TimesNewRoman" w:hAnsi="Times New Roman"/>
          <w:sz w:val="18"/>
          <w:szCs w:val="18"/>
          <w:lang w:val="fr-FR"/>
        </w:rPr>
        <w:t xml:space="preserve">, </w:t>
      </w:r>
      <w:proofErr w:type="spellStart"/>
      <w:r w:rsidR="000A7CDA" w:rsidRPr="000A7CDA">
        <w:rPr>
          <w:rFonts w:ascii="Times New Roman" w:eastAsia="TimesNewRoman" w:hAnsi="Times New Roman"/>
          <w:sz w:val="18"/>
          <w:szCs w:val="18"/>
          <w:lang w:val="fr-FR"/>
        </w:rPr>
        <w:t>Hazit</w:t>
      </w:r>
      <w:proofErr w:type="spellEnd"/>
      <w:r w:rsidR="000A7CDA" w:rsidRPr="000A7CDA">
        <w:rPr>
          <w:rFonts w:ascii="Times New Roman" w:eastAsia="TimesNewRoman" w:hAnsi="Times New Roman"/>
          <w:sz w:val="18"/>
          <w:szCs w:val="18"/>
          <w:lang w:val="fr-FR"/>
        </w:rPr>
        <w:t xml:space="preserve"> A., et al. </w:t>
      </w:r>
      <w:r w:rsidR="000A7CDA" w:rsidRPr="000A7CDA">
        <w:rPr>
          <w:rFonts w:ascii="Times New Roman" w:eastAsia="TimesNewRoman" w:hAnsi="Times New Roman"/>
          <w:sz w:val="18"/>
          <w:szCs w:val="18"/>
        </w:rPr>
        <w:t>"</w:t>
      </w:r>
      <w:proofErr w:type="spellStart"/>
      <w:r w:rsidR="000A7CDA" w:rsidRPr="000A7CDA">
        <w:rPr>
          <w:rFonts w:ascii="Times New Roman" w:eastAsia="TimesNewRoman" w:hAnsi="Times New Roman"/>
          <w:sz w:val="18"/>
          <w:szCs w:val="18"/>
        </w:rPr>
        <w:t>Thermoresponsive</w:t>
      </w:r>
      <w:proofErr w:type="spellEnd"/>
      <w:r w:rsidR="000A7CDA" w:rsidRPr="000A7CDA">
        <w:rPr>
          <w:rFonts w:ascii="Times New Roman" w:eastAsia="TimesNewRoman" w:hAnsi="Times New Roman"/>
          <w:sz w:val="18"/>
          <w:szCs w:val="18"/>
        </w:rPr>
        <w:t xml:space="preserve"> polymer-supported L-proline micelle catalysts for the direct asymmetric aldol reaction in water." ACS Macro Letters 2.4 (2013): 327-331.</w:t>
      </w:r>
    </w:p>
    <w:p w14:paraId="4E05EC4D" w14:textId="22184A1D" w:rsidR="00AE3E37" w:rsidRPr="000A7CDA" w:rsidRDefault="00AE3E37" w:rsidP="000A7CDA">
      <w:pPr>
        <w:pStyle w:val="ListParagraph"/>
        <w:widowControl/>
        <w:numPr>
          <w:ilvl w:val="0"/>
          <w:numId w:val="4"/>
        </w:numPr>
        <w:spacing w:before="0" w:after="160" w:line="240" w:lineRule="auto"/>
        <w:ind w:left="426" w:hanging="426"/>
        <w:contextualSpacing/>
        <w:rPr>
          <w:rFonts w:ascii="Times New Roman" w:hAnsi="Times New Roman"/>
          <w:sz w:val="18"/>
          <w:szCs w:val="18"/>
        </w:rPr>
        <w:sectPr w:rsidR="00AE3E37" w:rsidRPr="000A7CDA">
          <w:type w:val="continuous"/>
          <w:pgSz w:w="11910" w:h="16840"/>
          <w:pgMar w:top="1740" w:right="600" w:bottom="840" w:left="620" w:header="720" w:footer="720" w:gutter="0"/>
          <w:cols w:num="2" w:space="720" w:equalWidth="0">
            <w:col w:w="5214" w:space="138"/>
            <w:col w:w="5338"/>
          </w:cols>
        </w:sectPr>
      </w:pPr>
    </w:p>
    <w:p w14:paraId="54472FFF" w14:textId="51B65233" w:rsidR="00AE3E37" w:rsidRDefault="00AE3E37">
      <w:pPr>
        <w:pStyle w:val="BodyText"/>
        <w:rPr>
          <w:rFonts w:ascii="Calibri"/>
          <w:sz w:val="20"/>
        </w:rPr>
      </w:pPr>
    </w:p>
    <w:p w14:paraId="4A09244D" w14:textId="0F415F27" w:rsidR="00AE3E37" w:rsidRDefault="00055F02">
      <w:pPr>
        <w:pStyle w:val="BodyText"/>
        <w:spacing w:line="40" w:lineRule="exact"/>
        <w:ind w:left="2202"/>
        <w:rPr>
          <w:rFonts w:ascii="Calibri"/>
          <w:sz w:val="4"/>
        </w:rPr>
      </w:pPr>
      <w:r>
        <w:rPr>
          <w:b/>
          <w:noProof/>
        </w:rPr>
        <mc:AlternateContent>
          <mc:Choice Requires="wps">
            <w:drawing>
              <wp:anchor distT="0" distB="0" distL="114300" distR="114300" simplePos="0" relativeHeight="251659264" behindDoc="0" locked="0" layoutInCell="1" allowOverlap="1" wp14:anchorId="38C3BFDA" wp14:editId="0ED89DEC">
                <wp:simplePos x="0" y="0"/>
                <wp:positionH relativeFrom="column">
                  <wp:posOffset>48260</wp:posOffset>
                </wp:positionH>
                <wp:positionV relativeFrom="paragraph">
                  <wp:posOffset>4445</wp:posOffset>
                </wp:positionV>
                <wp:extent cx="1290320" cy="12954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290320" cy="1295400"/>
                        </a:xfrm>
                        <a:prstGeom prst="rect">
                          <a:avLst/>
                        </a:prstGeom>
                        <a:noFill/>
                        <a:ln w="6350">
                          <a:noFill/>
                        </a:ln>
                      </wps:spPr>
                      <wps:txbx>
                        <w:txbxContent>
                          <w:p w14:paraId="52659A50" w14:textId="5BD97BAB" w:rsidR="00055F02" w:rsidRDefault="00055F02">
                            <w:r>
                              <w:rPr>
                                <w:noProof/>
                              </w:rPr>
                              <w:drawing>
                                <wp:inline distT="0" distB="0" distL="0" distR="0" wp14:anchorId="416A3852" wp14:editId="05AEC337">
                                  <wp:extent cx="1135380" cy="1249680"/>
                                  <wp:effectExtent l="0" t="0" r="7620" b="7620"/>
                                  <wp:docPr id="3"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5380" cy="12496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C3BFDA" id="_x0000_t202" coordsize="21600,21600" o:spt="202" path="m,l,21600r21600,l21600,xe">
                <v:stroke joinstyle="miter"/>
                <v:path gradientshapeok="t" o:connecttype="rect"/>
              </v:shapetype>
              <v:shape id="Text Box 12" o:spid="_x0000_s1026" type="#_x0000_t202" style="position:absolute;left:0;text-align:left;margin-left:3.8pt;margin-top:.35pt;width:101.6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" filled="f" stroked="f" strokeweight=".5pt">
                <v:textbox>
                  <w:txbxContent>
                    <w:p w14:paraId="52659A50" w14:textId="5BD97BAB" w:rsidR="00055F02" w:rsidRDefault="00055F02">
                      <w:r>
                        <w:rPr>
                          <w:noProof/>
                        </w:rPr>
                        <w:drawing>
                          <wp:inline distT="0" distB="0" distL="0" distR="0" wp14:anchorId="416A3852" wp14:editId="05AEC337">
                            <wp:extent cx="1135380" cy="1249680"/>
                            <wp:effectExtent l="0" t="0" r="7620" b="7620"/>
                            <wp:docPr id="3"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5380" cy="1249680"/>
                                    </a:xfrm>
                                    <a:prstGeom prst="rect">
                                      <a:avLst/>
                                    </a:prstGeom>
                                    <a:noFill/>
                                    <a:ln>
                                      <a:noFill/>
                                    </a:ln>
                                  </pic:spPr>
                                </pic:pic>
                              </a:graphicData>
                            </a:graphic>
                          </wp:inline>
                        </w:drawing>
                      </w:r>
                    </w:p>
                  </w:txbxContent>
                </v:textbox>
              </v:shape>
            </w:pict>
          </mc:Fallback>
        </mc:AlternateContent>
      </w:r>
      <w:r w:rsidR="00292ED9">
        <w:rPr>
          <w:rFonts w:ascii="Calibri"/>
          <w:noProof/>
          <w:sz w:val="4"/>
          <w:lang w:val="en-IN" w:eastAsia="en-IN"/>
        </w:rPr>
        <mc:AlternateContent>
          <mc:Choice Requires="wpg">
            <w:drawing>
              <wp:inline distT="0" distB="0" distL="0" distR="0" wp14:anchorId="49844576" wp14:editId="726996C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77615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4BEFBC7" w14:textId="4A12A197" w:rsidR="00055F02" w:rsidRPr="00055F02" w:rsidRDefault="00055F02" w:rsidP="00055F02">
      <w:pPr>
        <w:spacing w:before="92"/>
        <w:ind w:left="2127" w:right="78"/>
        <w:rPr>
          <w:noProof/>
        </w:rPr>
      </w:pPr>
      <w:r>
        <w:rPr>
          <w:rFonts w:asciiTheme="majorBidi" w:hAnsiTheme="majorBidi" w:cstheme="majorBidi"/>
          <w:sz w:val="14"/>
        </w:rPr>
        <w:t>Zakaria Hafidi Third cycle doctorate in organic synthesis I am</w:t>
      </w:r>
      <w:r>
        <w:rPr>
          <w:rFonts w:asciiTheme="majorBidi" w:hAnsiTheme="majorBidi" w:cstheme="majorBidi"/>
          <w:sz w:val="14"/>
        </w:rPr>
        <w:t xml:space="preserve"> </w:t>
      </w:r>
      <w:r>
        <w:rPr>
          <w:rFonts w:asciiTheme="majorBidi" w:hAnsiTheme="majorBidi" w:cstheme="majorBidi"/>
          <w:sz w:val="14"/>
        </w:rPr>
        <w:t xml:space="preserve">currently working on the synthesis of new surfactants based on Ester quaternary and their application as antibacterial agents. I have a publication in the journal </w:t>
      </w:r>
      <w:r>
        <w:rPr>
          <w:rFonts w:asciiTheme="majorBidi" w:hAnsiTheme="majorBidi" w:cstheme="majorBidi"/>
          <w:i/>
          <w:iCs/>
          <w:sz w:val="14"/>
        </w:rPr>
        <w:t>surfactants and detergent</w:t>
      </w:r>
      <w:r>
        <w:rPr>
          <w:rFonts w:asciiTheme="majorBidi" w:hAnsiTheme="majorBidi" w:cstheme="majorBidi"/>
          <w:sz w:val="14"/>
        </w:rPr>
        <w:t xml:space="preserve"> indexed in web of science and Scopus and </w:t>
      </w:r>
      <w:proofErr w:type="gramStart"/>
      <w:r>
        <w:rPr>
          <w:rFonts w:asciiTheme="majorBidi" w:hAnsiTheme="majorBidi" w:cstheme="majorBidi"/>
          <w:sz w:val="14"/>
        </w:rPr>
        <w:t>also</w:t>
      </w:r>
      <w:proofErr w:type="gramEnd"/>
      <w:r>
        <w:rPr>
          <w:rFonts w:asciiTheme="majorBidi" w:hAnsiTheme="majorBidi" w:cstheme="majorBidi"/>
          <w:sz w:val="14"/>
        </w:rPr>
        <w:t xml:space="preserve"> I have other article being submitted </w:t>
      </w:r>
    </w:p>
    <w:p w14:paraId="5F7E746F" w14:textId="0DCDE8EC" w:rsidR="00055F02" w:rsidRDefault="00055F02" w:rsidP="00055F02">
      <w:pPr>
        <w:spacing w:before="92"/>
        <w:ind w:left="3105" w:right="2630" w:firstLine="864"/>
        <w:jc w:val="center"/>
        <w:rPr>
          <w:rFonts w:ascii="Arial"/>
          <w:sz w:val="14"/>
        </w:rPr>
      </w:pPr>
      <w:r>
        <w:rPr>
          <w:rFonts w:asciiTheme="majorBidi" w:hAnsiTheme="majorBidi" w:cstheme="majorBidi"/>
          <w:sz w:val="14"/>
        </w:rPr>
        <w:t xml:space="preserve">Email: </w:t>
      </w:r>
      <w:hyperlink r:id="rId11" w:history="1">
        <w:r>
          <w:rPr>
            <w:rStyle w:val="Hyperlink"/>
            <w:rFonts w:asciiTheme="majorBidi" w:hAnsiTheme="majorBidi" w:cstheme="majorBidi"/>
            <w:sz w:val="14"/>
          </w:rPr>
          <w:t>z</w:t>
        </w:r>
        <w:r>
          <w:rPr>
            <w:rStyle w:val="Hyperlink"/>
            <w:sz w:val="14"/>
          </w:rPr>
          <w:t>akariahafidi21@gmail.com</w:t>
        </w:r>
      </w:hyperlink>
    </w:p>
    <w:p w14:paraId="5CB478F1" w14:textId="77777777" w:rsidR="00AE3E37" w:rsidRDefault="00AE3E37" w:rsidP="00055F02">
      <w:pPr>
        <w:pStyle w:val="BodyText"/>
        <w:spacing w:before="3"/>
        <w:jc w:val="center"/>
        <w:rPr>
          <w:rFonts w:ascii="Minion Pro"/>
          <w:sz w:val="26"/>
        </w:rPr>
      </w:pPr>
    </w:p>
    <w:sectPr w:rsidR="00AE3E37" w:rsidSect="00055F02">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EF3A0B" w14:textId="77777777" w:rsidR="00F2763B" w:rsidRDefault="00F2763B">
      <w:r>
        <w:separator/>
      </w:r>
    </w:p>
  </w:endnote>
  <w:endnote w:type="continuationSeparator" w:id="0">
    <w:p w14:paraId="77239EC8" w14:textId="77777777" w:rsidR="00F2763B" w:rsidRDefault="00F2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
    <w:altName w:val="Arial Unicode M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15A1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183E095" wp14:editId="1B4BAC5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EBD0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0725B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83E095"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DDEBD0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0725B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11E6064" wp14:editId="4564A25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63B7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150F4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E6064"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FB63B7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D150F4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0B3A391" wp14:editId="4696B6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6F12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87D3E8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3A391"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DA6F12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87D3E8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098EAA" w14:textId="77777777" w:rsidR="00F2763B" w:rsidRDefault="00F2763B">
      <w:r>
        <w:separator/>
      </w:r>
    </w:p>
  </w:footnote>
  <w:footnote w:type="continuationSeparator" w:id="0">
    <w:p w14:paraId="4B3B4606" w14:textId="77777777" w:rsidR="00F2763B" w:rsidRDefault="00F27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857F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F1440D2" wp14:editId="3707756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85CB6" w14:textId="77777777" w:rsidR="00AE3E37" w:rsidRPr="000A7CDA" w:rsidRDefault="00A9710C">
                          <w:pPr>
                            <w:spacing w:before="2" w:line="249" w:lineRule="auto"/>
                            <w:ind w:left="156" w:right="18" w:hanging="137"/>
                            <w:rPr>
                              <w:rFonts w:ascii="Arial"/>
                              <w:color w:val="FFFFFF" w:themeColor="background1"/>
                              <w:sz w:val="14"/>
                              <w:lang w:val="fr-FR"/>
                            </w:rPr>
                          </w:pPr>
                          <w:r w:rsidRPr="000A7CDA">
                            <w:rPr>
                              <w:rFonts w:ascii="Arial"/>
                              <w:color w:val="FFFFFF" w:themeColor="background1"/>
                              <w:sz w:val="14"/>
                              <w:lang w:val="fr-FR"/>
                            </w:rPr>
                            <w:t xml:space="preserve">T Furuta et al., J Pai n Relief 2016, 5:3(Suppl) </w:t>
                          </w:r>
                          <w:r w:rsidR="00F2763B">
                            <w:fldChar w:fldCharType="begin"/>
                          </w:r>
                          <w:r w:rsidR="00F2763B" w:rsidRPr="000A7CDA">
                            <w:rPr>
                              <w:lang w:val="fr-FR"/>
                            </w:rPr>
                            <w:instrText xml:space="preserve"> HYPERLINK "http://dx.doi.org/10.4172/2167-0846.C1.006" \h </w:instrText>
                          </w:r>
                          <w:r w:rsidR="00F2763B">
                            <w:fldChar w:fldCharType="separate"/>
                          </w:r>
                          <w:r w:rsidRPr="000A7CDA">
                            <w:rPr>
                              <w:rFonts w:ascii="Arial"/>
                              <w:color w:val="FFFFFF" w:themeColor="background1"/>
                              <w:sz w:val="14"/>
                              <w:lang w:val="fr-FR"/>
                            </w:rPr>
                            <w:t>http://dx.doi.org/10.4172/2167-0846.C1.006</w:t>
                          </w:r>
                          <w:r w:rsidR="00F2763B">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440D2"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EE85CB6" w14:textId="77777777" w:rsidR="00AE3E37" w:rsidRPr="000A7CDA" w:rsidRDefault="00A9710C">
                    <w:pPr>
                      <w:spacing w:before="2" w:line="249" w:lineRule="auto"/>
                      <w:ind w:left="156" w:right="18" w:hanging="137"/>
                      <w:rPr>
                        <w:rFonts w:ascii="Arial"/>
                        <w:color w:val="FFFFFF" w:themeColor="background1"/>
                        <w:sz w:val="14"/>
                        <w:lang w:val="fr-FR"/>
                      </w:rPr>
                    </w:pPr>
                    <w:r w:rsidRPr="000A7CDA">
                      <w:rPr>
                        <w:rFonts w:ascii="Arial"/>
                        <w:color w:val="FFFFFF" w:themeColor="background1"/>
                        <w:sz w:val="14"/>
                        <w:lang w:val="fr-FR"/>
                      </w:rPr>
                      <w:t xml:space="preserve">T Furuta et al., J Pai n Relief 2016, 5:3(Suppl) </w:t>
                    </w:r>
                    <w:r w:rsidR="00F2763B">
                      <w:fldChar w:fldCharType="begin"/>
                    </w:r>
                    <w:r w:rsidR="00F2763B" w:rsidRPr="000A7CDA">
                      <w:rPr>
                        <w:lang w:val="fr-FR"/>
                      </w:rPr>
                      <w:instrText xml:space="preserve"> HYPERLINK "http://dx.doi.org/10.4172/2167-0846.C1.006" \h </w:instrText>
                    </w:r>
                    <w:r w:rsidR="00F2763B">
                      <w:fldChar w:fldCharType="separate"/>
                    </w:r>
                    <w:r w:rsidRPr="000A7CDA">
                      <w:rPr>
                        <w:rFonts w:ascii="Arial"/>
                        <w:color w:val="FFFFFF" w:themeColor="background1"/>
                        <w:sz w:val="14"/>
                        <w:lang w:val="fr-FR"/>
                      </w:rPr>
                      <w:t>http://dx.doi.org/10.4172/2167-0846.C1.006</w:t>
                    </w:r>
                    <w:r w:rsidR="00F2763B">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30DF31" wp14:editId="51EF39A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EEC9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87D98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0DF31"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BBEEC9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87D98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0729B"/>
    <w:multiLevelType w:val="hybridMultilevel"/>
    <w:tmpl w:val="DA185CA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DEE4573"/>
    <w:multiLevelType w:val="hybridMultilevel"/>
    <w:tmpl w:val="B928AD88"/>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CwMDAzMjA3sjQ3NDVS0lEKTi0uzszPAykwrAUAJQGrpiwAAAA="/>
  </w:docVars>
  <w:rsids>
    <w:rsidRoot w:val="00AE3E37"/>
    <w:rsid w:val="00055F02"/>
    <w:rsid w:val="000A7CDA"/>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2763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FD544"/>
  <w15:docId w15:val="{6771EB65-A3F3-442F-87BE-F5C603169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itleparagraph">
    <w:name w:val="Title paragraph"/>
    <w:rsid w:val="000A7CDA"/>
    <w:pPr>
      <w:widowControl/>
      <w:suppressAutoHyphens/>
      <w:autoSpaceDE w:val="0"/>
      <w:spacing w:line="280" w:lineRule="atLeast"/>
      <w:jc w:val="center"/>
    </w:pPr>
    <w:rPr>
      <w:rFonts w:ascii="Arial" w:eastAsia="Malgun Gothic" w:hAnsi="Arial" w:cs="Arial"/>
      <w:b/>
      <w:bCs/>
      <w:sz w:val="24"/>
      <w:szCs w:val="24"/>
      <w:lang w:val="pl-PL" w:eastAsia="zh-CN"/>
    </w:rPr>
  </w:style>
  <w:style w:type="paragraph" w:customStyle="1" w:styleId="authors">
    <w:name w:val="authors"/>
    <w:rsid w:val="000A7CDA"/>
    <w:pPr>
      <w:widowControl/>
      <w:suppressAutoHyphens/>
      <w:autoSpaceDE w:val="0"/>
      <w:jc w:val="center"/>
    </w:pPr>
    <w:rPr>
      <w:rFonts w:ascii="Arial" w:eastAsia="Malgun Gothic" w:hAnsi="Arial" w:cs="Arial"/>
      <w:sz w:val="20"/>
      <w:szCs w:val="20"/>
      <w:lang w:val="pl-PL" w:eastAsia="zh-CN"/>
    </w:rPr>
  </w:style>
  <w:style w:type="paragraph" w:customStyle="1" w:styleId="Affiliations">
    <w:name w:val="Affiliations"/>
    <w:basedOn w:val="authors"/>
    <w:rsid w:val="000A7CDA"/>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411381">
      <w:bodyDiv w:val="1"/>
      <w:marLeft w:val="0"/>
      <w:marRight w:val="0"/>
      <w:marTop w:val="0"/>
      <w:marBottom w:val="0"/>
      <w:divBdr>
        <w:top w:val="none" w:sz="0" w:space="0" w:color="auto"/>
        <w:left w:val="none" w:sz="0" w:space="0" w:color="auto"/>
        <w:bottom w:val="none" w:sz="0" w:space="0" w:color="auto"/>
        <w:right w:val="none" w:sz="0" w:space="0" w:color="auto"/>
      </w:divBdr>
    </w:div>
    <w:div w:id="33372622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15848107">
      <w:bodyDiv w:val="1"/>
      <w:marLeft w:val="0"/>
      <w:marRight w:val="0"/>
      <w:marTop w:val="0"/>
      <w:marBottom w:val="0"/>
      <w:divBdr>
        <w:top w:val="none" w:sz="0" w:space="0" w:color="auto"/>
        <w:left w:val="none" w:sz="0" w:space="0" w:color="auto"/>
        <w:bottom w:val="none" w:sz="0" w:space="0" w:color="auto"/>
        <w:right w:val="none" w:sz="0" w:space="0" w:color="auto"/>
      </w:divBdr>
    </w:div>
    <w:div w:id="13094758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3934286">
      <w:bodyDiv w:val="1"/>
      <w:marLeft w:val="0"/>
      <w:marRight w:val="0"/>
      <w:marTop w:val="0"/>
      <w:marBottom w:val="0"/>
      <w:divBdr>
        <w:top w:val="none" w:sz="0" w:space="0" w:color="auto"/>
        <w:left w:val="none" w:sz="0" w:space="0" w:color="auto"/>
        <w:bottom w:val="none" w:sz="0" w:space="0" w:color="auto"/>
        <w:right w:val="none" w:sz="0" w:space="0" w:color="auto"/>
      </w:divBdr>
    </w:div>
    <w:div w:id="1536230707">
      <w:bodyDiv w:val="1"/>
      <w:marLeft w:val="0"/>
      <w:marRight w:val="0"/>
      <w:marTop w:val="0"/>
      <w:marBottom w:val="0"/>
      <w:divBdr>
        <w:top w:val="none" w:sz="0" w:space="0" w:color="auto"/>
        <w:left w:val="none" w:sz="0" w:space="0" w:color="auto"/>
        <w:bottom w:val="none" w:sz="0" w:space="0" w:color="auto"/>
        <w:right w:val="none" w:sz="0" w:space="0" w:color="auto"/>
      </w:divBdr>
    </w:div>
    <w:div w:id="1556353238">
      <w:bodyDiv w:val="1"/>
      <w:marLeft w:val="0"/>
      <w:marRight w:val="0"/>
      <w:marTop w:val="0"/>
      <w:marBottom w:val="0"/>
      <w:divBdr>
        <w:top w:val="none" w:sz="0" w:space="0" w:color="auto"/>
        <w:left w:val="none" w:sz="0" w:space="0" w:color="auto"/>
        <w:bottom w:val="none" w:sz="0" w:space="0" w:color="auto"/>
        <w:right w:val="none" w:sz="0" w:space="0" w:color="auto"/>
      </w:divBdr>
    </w:div>
    <w:div w:id="1842038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akariahafidi21@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548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zakariahafidi21@hotmail.com</cp:lastModifiedBy>
  <cp:revision>3</cp:revision>
  <dcterms:created xsi:type="dcterms:W3CDTF">2016-12-06T11:19:00Z</dcterms:created>
  <dcterms:modified xsi:type="dcterms:W3CDTF">2020-07-01T12:51:00Z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