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5938DA" w14:textId="07892186" w:rsidR="00E857D7" w:rsidRDefault="00E857D7">
      <w:r w:rsidRPr="00A67578">
        <w:t>Oral Health and its local and systemic effects on chronic disease development: Bacterial dysbiosis, bacterial translocation and inadequte border control add to new mechanisms of disease development.</w:t>
      </w:r>
    </w:p>
    <w:p w14:paraId="32D7C8E7" w14:textId="77777777" w:rsidR="00A67578" w:rsidRPr="00A67578" w:rsidRDefault="00A67578"/>
    <w:p w14:paraId="53E6CD26" w14:textId="77777777" w:rsidR="00E857D7" w:rsidRDefault="00E857D7">
      <w:pPr>
        <w:rPr>
          <w:sz w:val="20"/>
          <w:szCs w:val="20"/>
        </w:rPr>
      </w:pPr>
      <w:r w:rsidRPr="00E857D7">
        <w:rPr>
          <w:sz w:val="20"/>
          <w:szCs w:val="20"/>
        </w:rPr>
        <w:t>Pete Williams M.Med.Sci. CSCS IFMCP</w:t>
      </w:r>
      <w:r>
        <w:rPr>
          <w:sz w:val="20"/>
          <w:szCs w:val="20"/>
        </w:rPr>
        <w:t>, Functional Medicine Associates London</w:t>
      </w:r>
    </w:p>
    <w:p w14:paraId="58590F5B" w14:textId="77777777" w:rsidR="00E857D7" w:rsidRDefault="00E857D7">
      <w:pPr>
        <w:rPr>
          <w:sz w:val="20"/>
          <w:szCs w:val="20"/>
        </w:rPr>
      </w:pPr>
    </w:p>
    <w:p w14:paraId="079C4F4A" w14:textId="77777777" w:rsidR="00F94837" w:rsidRDefault="00F94837">
      <w:pPr>
        <w:rPr>
          <w:sz w:val="20"/>
          <w:szCs w:val="20"/>
        </w:rPr>
        <w:sectPr w:rsidR="00F94837" w:rsidSect="000E51C4">
          <w:pgSz w:w="11900" w:h="16840"/>
          <w:pgMar w:top="1440" w:right="1440" w:bottom="1440" w:left="1440" w:header="708" w:footer="708" w:gutter="0"/>
          <w:cols w:space="708"/>
          <w:docGrid w:linePitch="360"/>
        </w:sectPr>
      </w:pPr>
    </w:p>
    <w:p w14:paraId="6BAF0D1E" w14:textId="565EA2E7" w:rsidR="00E857D7" w:rsidRPr="00F94837" w:rsidRDefault="00E857D7">
      <w:r w:rsidRPr="00F94837">
        <w:t>Abstract.</w:t>
      </w:r>
    </w:p>
    <w:p w14:paraId="359729CA" w14:textId="13604A13" w:rsidR="00E857D7" w:rsidRDefault="00E857D7">
      <w:pPr>
        <w:rPr>
          <w:sz w:val="20"/>
          <w:szCs w:val="20"/>
        </w:rPr>
      </w:pPr>
      <w:r>
        <w:rPr>
          <w:sz w:val="20"/>
          <w:szCs w:val="20"/>
        </w:rPr>
        <w:t xml:space="preserve">As medicine moves to </w:t>
      </w:r>
      <w:r w:rsidR="005B5286">
        <w:rPr>
          <w:sz w:val="20"/>
          <w:szCs w:val="20"/>
        </w:rPr>
        <w:t xml:space="preserve">a </w:t>
      </w:r>
      <w:r>
        <w:rPr>
          <w:sz w:val="20"/>
          <w:szCs w:val="20"/>
        </w:rPr>
        <w:t xml:space="preserve">systems </w:t>
      </w:r>
      <w:r w:rsidR="0074117C">
        <w:rPr>
          <w:sz w:val="20"/>
          <w:szCs w:val="20"/>
        </w:rPr>
        <w:t xml:space="preserve">biology </w:t>
      </w:r>
      <w:r>
        <w:rPr>
          <w:sz w:val="20"/>
          <w:szCs w:val="20"/>
        </w:rPr>
        <w:t>approach to chronic disease management, the emerging literature on the oral microbiome and oral health cannot be ignored. In many chronic diseases such as obesity, type 2 diabetes, alzhiemers</w:t>
      </w:r>
      <w:r w:rsidR="0074117C">
        <w:rPr>
          <w:sz w:val="20"/>
          <w:szCs w:val="20"/>
        </w:rPr>
        <w:t>, cancer and rheumatoid arthritis there is a translocation of oral bacteria from the mouth into different areas of the body</w:t>
      </w:r>
      <w:r w:rsidR="00635AB9">
        <w:rPr>
          <w:sz w:val="20"/>
          <w:szCs w:val="20"/>
        </w:rPr>
        <w:t xml:space="preserve">. </w:t>
      </w:r>
      <w:r w:rsidR="0074117C">
        <w:rPr>
          <w:sz w:val="20"/>
          <w:szCs w:val="20"/>
        </w:rPr>
        <w:t xml:space="preserve"> </w:t>
      </w:r>
      <w:r w:rsidR="005B61EA">
        <w:rPr>
          <w:sz w:val="20"/>
          <w:szCs w:val="20"/>
        </w:rPr>
        <w:t>Th</w:t>
      </w:r>
      <w:r w:rsidR="005B5286">
        <w:rPr>
          <w:sz w:val="20"/>
          <w:szCs w:val="20"/>
        </w:rPr>
        <w:t xml:space="preserve">is </w:t>
      </w:r>
      <w:r w:rsidR="0074117C">
        <w:rPr>
          <w:sz w:val="20"/>
          <w:szCs w:val="20"/>
        </w:rPr>
        <w:t>caus</w:t>
      </w:r>
      <w:r w:rsidR="005B5286">
        <w:rPr>
          <w:sz w:val="20"/>
          <w:szCs w:val="20"/>
        </w:rPr>
        <w:t>es</w:t>
      </w:r>
      <w:r w:rsidR="0074117C">
        <w:rPr>
          <w:sz w:val="20"/>
          <w:szCs w:val="20"/>
        </w:rPr>
        <w:t xml:space="preserve"> immune activation, inflammation and oxidative stress and contribut</w:t>
      </w:r>
      <w:r w:rsidR="005B5286">
        <w:rPr>
          <w:sz w:val="20"/>
          <w:szCs w:val="20"/>
        </w:rPr>
        <w:t xml:space="preserve">es </w:t>
      </w:r>
      <w:r w:rsidR="0074117C">
        <w:rPr>
          <w:sz w:val="20"/>
          <w:szCs w:val="20"/>
        </w:rPr>
        <w:t>to the disease progression if unchecked.</w:t>
      </w:r>
    </w:p>
    <w:p w14:paraId="100206F0" w14:textId="29240C21" w:rsidR="00964145" w:rsidRDefault="0074117C" w:rsidP="005B5286">
      <w:pPr>
        <w:rPr>
          <w:sz w:val="20"/>
          <w:szCs w:val="20"/>
        </w:rPr>
      </w:pPr>
      <w:r>
        <w:rPr>
          <w:sz w:val="20"/>
          <w:szCs w:val="20"/>
        </w:rPr>
        <w:t xml:space="preserve">This lecture </w:t>
      </w:r>
      <w:r w:rsidR="005B5286">
        <w:rPr>
          <w:sz w:val="20"/>
          <w:szCs w:val="20"/>
        </w:rPr>
        <w:t xml:space="preserve">briefly </w:t>
      </w:r>
      <w:r>
        <w:rPr>
          <w:sz w:val="20"/>
          <w:szCs w:val="20"/>
        </w:rPr>
        <w:t xml:space="preserve">explores the links between various chronic diseases and oral pathogenic bacteria, the influence on appropiate barrier control (oral, gastrointestinal and blood brain barrier) and the mechanisms that may drive these barriers to be compromised. It will blend patient </w:t>
      </w:r>
      <w:r w:rsidR="00635AB9">
        <w:rPr>
          <w:sz w:val="20"/>
          <w:szCs w:val="20"/>
        </w:rPr>
        <w:t>examples and propose new concepts of thinking as far as treatment strategies</w:t>
      </w:r>
      <w:r w:rsidR="00964145">
        <w:rPr>
          <w:sz w:val="20"/>
          <w:szCs w:val="20"/>
        </w:rPr>
        <w:t>.</w:t>
      </w:r>
    </w:p>
    <w:p w14:paraId="66F211B9" w14:textId="77777777" w:rsidR="00964145" w:rsidRDefault="00964145" w:rsidP="005B5286">
      <w:pPr>
        <w:rPr>
          <w:sz w:val="20"/>
          <w:szCs w:val="20"/>
        </w:rPr>
      </w:pPr>
    </w:p>
    <w:p w14:paraId="39655095" w14:textId="412A7FC7" w:rsidR="00964145" w:rsidRDefault="00964145" w:rsidP="005B5286">
      <w:pPr>
        <w:rPr>
          <w:sz w:val="20"/>
          <w:szCs w:val="20"/>
        </w:rPr>
      </w:pPr>
    </w:p>
    <w:p w14:paraId="1674D1AF" w14:textId="1A9CD8A1" w:rsidR="00F93542" w:rsidRDefault="00F93542" w:rsidP="005B5286">
      <w:pPr>
        <w:rPr>
          <w:sz w:val="20"/>
          <w:szCs w:val="20"/>
        </w:rPr>
      </w:pPr>
    </w:p>
    <w:p w14:paraId="0E2F58DB" w14:textId="49707E28" w:rsidR="00F93542" w:rsidRDefault="00F93542" w:rsidP="005B5286">
      <w:pPr>
        <w:rPr>
          <w:sz w:val="20"/>
          <w:szCs w:val="20"/>
        </w:rPr>
      </w:pPr>
    </w:p>
    <w:p w14:paraId="7BA4B200" w14:textId="784D924C" w:rsidR="00F93542" w:rsidRDefault="00F93542" w:rsidP="005B5286">
      <w:pPr>
        <w:rPr>
          <w:sz w:val="20"/>
          <w:szCs w:val="20"/>
        </w:rPr>
      </w:pPr>
    </w:p>
    <w:p w14:paraId="52F267D1" w14:textId="3885A0A8" w:rsidR="00F93542" w:rsidRDefault="00F93542" w:rsidP="005B5286">
      <w:pPr>
        <w:rPr>
          <w:sz w:val="20"/>
          <w:szCs w:val="20"/>
        </w:rPr>
      </w:pPr>
    </w:p>
    <w:p w14:paraId="79711DCD" w14:textId="77777777" w:rsidR="00F93542" w:rsidRDefault="00F93542" w:rsidP="005B5286">
      <w:pPr>
        <w:rPr>
          <w:sz w:val="20"/>
          <w:szCs w:val="20"/>
        </w:rPr>
      </w:pPr>
    </w:p>
    <w:p w14:paraId="6D21F968" w14:textId="60976184" w:rsidR="005B5286" w:rsidRDefault="005B5286" w:rsidP="005B5286">
      <w:pPr>
        <w:rPr>
          <w:sz w:val="20"/>
          <w:szCs w:val="20"/>
        </w:rPr>
      </w:pPr>
      <w:r w:rsidRPr="00F94837">
        <w:t>Image:</w:t>
      </w:r>
      <w:r>
        <w:t xml:space="preserve"> </w:t>
      </w:r>
      <w:r w:rsidRPr="000221E9">
        <w:rPr>
          <w:sz w:val="20"/>
          <w:szCs w:val="20"/>
        </w:rPr>
        <w:t xml:space="preserve">Periodontal pathogens </w:t>
      </w:r>
      <w:r w:rsidR="00964145">
        <w:rPr>
          <w:sz w:val="20"/>
          <w:szCs w:val="20"/>
        </w:rPr>
        <w:t>on oral testing.</w:t>
      </w:r>
    </w:p>
    <w:p w14:paraId="7A4BA902" w14:textId="45FF33C8" w:rsidR="00D53991" w:rsidRDefault="00282F9B" w:rsidP="005B5286">
      <w:pPr>
        <w:rPr>
          <w:sz w:val="20"/>
          <w:szCs w:val="20"/>
        </w:rPr>
      </w:pPr>
      <w:r w:rsidRPr="00282F9B">
        <w:rPr>
          <w:sz w:val="20"/>
          <w:szCs w:val="20"/>
        </w:rPr>
        <w:drawing>
          <wp:inline distT="0" distB="0" distL="0" distR="0" wp14:anchorId="6A726315" wp14:editId="5EFD942E">
            <wp:extent cx="3299375" cy="948690"/>
            <wp:effectExtent l="114300" t="101600" r="117475" b="130810"/>
            <wp:docPr id="4" name="Picture 2">
              <a:extLst xmlns:a="http://schemas.openxmlformats.org/drawingml/2006/main">
                <a:ext uri="{FF2B5EF4-FFF2-40B4-BE49-F238E27FC236}">
                  <a16:creationId xmlns:a16="http://schemas.microsoft.com/office/drawing/2014/main" id="{F5774DBA-EB1B-2D4A-A8F0-EDFDDD4DEB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5774DBA-EB1B-2D4A-A8F0-EDFDDD4DEBBD}"/>
                        </a:ext>
                      </a:extLst>
                    </pic:cNvPr>
                    <pic:cNvPicPr>
                      <a:picLocks noChangeAspect="1"/>
                    </pic:cNvPicPr>
                  </pic:nvPicPr>
                  <pic:blipFill>
                    <a:blip r:embed="rId5"/>
                    <a:stretch>
                      <a:fillRect/>
                    </a:stretch>
                  </pic:blipFill>
                  <pic:spPr>
                    <a:xfrm>
                      <a:off x="0" y="0"/>
                      <a:ext cx="3348723" cy="9628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F29786A" w14:textId="77777777" w:rsidR="00D53991" w:rsidRPr="000221E9" w:rsidRDefault="00D53991" w:rsidP="005B5286">
      <w:pPr>
        <w:rPr>
          <w:sz w:val="20"/>
          <w:szCs w:val="20"/>
        </w:rPr>
      </w:pPr>
    </w:p>
    <w:p w14:paraId="6810C8A7" w14:textId="77777777" w:rsidR="005B5286" w:rsidRDefault="005B5286">
      <w:pPr>
        <w:rPr>
          <w:sz w:val="20"/>
          <w:szCs w:val="20"/>
        </w:rPr>
      </w:pPr>
    </w:p>
    <w:p w14:paraId="206195BD" w14:textId="22B1AC6D" w:rsidR="00F94837" w:rsidRDefault="00F94837" w:rsidP="008B6EBC">
      <w:pPr>
        <w:rPr>
          <w:sz w:val="20"/>
          <w:szCs w:val="20"/>
        </w:rPr>
        <w:sectPr w:rsidR="00F94837" w:rsidSect="00F94837">
          <w:type w:val="continuous"/>
          <w:pgSz w:w="11900" w:h="16840"/>
          <w:pgMar w:top="1440" w:right="1440" w:bottom="1440" w:left="1440" w:header="708" w:footer="708" w:gutter="0"/>
          <w:cols w:num="2" w:space="708"/>
          <w:docGrid w:linePitch="360"/>
        </w:sectPr>
      </w:pPr>
    </w:p>
    <w:p w14:paraId="375BC343" w14:textId="30D172DC" w:rsidR="00F94837" w:rsidRDefault="00F94837" w:rsidP="008B6EBC">
      <w:pPr>
        <w:rPr>
          <w:sz w:val="20"/>
          <w:szCs w:val="20"/>
        </w:rPr>
        <w:sectPr w:rsidR="00F94837" w:rsidSect="00F94837">
          <w:type w:val="continuous"/>
          <w:pgSz w:w="11900" w:h="16840"/>
          <w:pgMar w:top="1440" w:right="1440" w:bottom="1440" w:left="1440" w:header="708" w:footer="708" w:gutter="0"/>
          <w:cols w:num="2" w:space="708"/>
          <w:docGrid w:linePitch="360"/>
        </w:sectPr>
      </w:pPr>
    </w:p>
    <w:p w14:paraId="0BE80C7E" w14:textId="77777777" w:rsidR="00542C60" w:rsidRDefault="00542C60">
      <w:pPr>
        <w:rPr>
          <w:sz w:val="20"/>
          <w:szCs w:val="20"/>
        </w:rPr>
        <w:sectPr w:rsidR="00542C60" w:rsidSect="00F94837">
          <w:type w:val="continuous"/>
          <w:pgSz w:w="11900" w:h="16840"/>
          <w:pgMar w:top="1440" w:right="1440" w:bottom="1440" w:left="1440" w:header="708" w:footer="708" w:gutter="0"/>
          <w:cols w:num="2" w:space="708"/>
          <w:docGrid w:linePitch="360"/>
        </w:sectPr>
      </w:pPr>
    </w:p>
    <w:p w14:paraId="016FA3AD" w14:textId="46783077" w:rsidR="00635AB9" w:rsidRDefault="00635AB9">
      <w:pPr>
        <w:rPr>
          <w:sz w:val="20"/>
          <w:szCs w:val="20"/>
        </w:rPr>
      </w:pPr>
      <w:r>
        <w:rPr>
          <w:sz w:val="20"/>
          <w:szCs w:val="20"/>
        </w:rPr>
        <w:t>Recent publications:</w:t>
      </w:r>
    </w:p>
    <w:p w14:paraId="70887564" w14:textId="3E0C6781" w:rsidR="00635AB9" w:rsidRDefault="00635AB9">
      <w:pPr>
        <w:rPr>
          <w:sz w:val="20"/>
          <w:szCs w:val="20"/>
        </w:rPr>
      </w:pPr>
    </w:p>
    <w:p w14:paraId="225C355F" w14:textId="76647E84" w:rsidR="00542C60" w:rsidRDefault="00635AB9" w:rsidP="00635AB9">
      <w:pPr>
        <w:pStyle w:val="ListParagraph"/>
        <w:numPr>
          <w:ilvl w:val="0"/>
          <w:numId w:val="1"/>
        </w:numPr>
        <w:rPr>
          <w:sz w:val="20"/>
          <w:szCs w:val="20"/>
          <w:lang w:val="en-US"/>
        </w:rPr>
      </w:pPr>
      <w:r w:rsidRPr="00542C60">
        <w:rPr>
          <w:sz w:val="20"/>
          <w:szCs w:val="20"/>
          <w:lang w:val="en-US"/>
        </w:rPr>
        <w:t>Bale BF, Doneen AL, Viigerust DJ</w:t>
      </w:r>
      <w:r w:rsidR="00542C60" w:rsidRPr="00542C60">
        <w:rPr>
          <w:sz w:val="20"/>
          <w:szCs w:val="20"/>
          <w:lang w:val="en-US"/>
        </w:rPr>
        <w:t xml:space="preserve"> (2017) </w:t>
      </w:r>
      <w:r w:rsidR="008F5676">
        <w:rPr>
          <w:sz w:val="20"/>
          <w:szCs w:val="20"/>
          <w:lang w:val="en-US"/>
        </w:rPr>
        <w:t>High risk periodontal pathogens contribute to the pathogenesis of atherosclerosis.</w:t>
      </w:r>
      <w:r w:rsidRPr="00542C60">
        <w:rPr>
          <w:sz w:val="20"/>
          <w:szCs w:val="20"/>
          <w:lang w:val="en-US"/>
        </w:rPr>
        <w:t xml:space="preserve"> Postgrad Med J</w:t>
      </w:r>
      <w:r w:rsidR="008F5676">
        <w:rPr>
          <w:sz w:val="20"/>
          <w:szCs w:val="20"/>
          <w:lang w:val="en-US"/>
        </w:rPr>
        <w:t xml:space="preserve"> </w:t>
      </w:r>
      <w:r w:rsidRPr="00542C60">
        <w:rPr>
          <w:sz w:val="20"/>
          <w:szCs w:val="20"/>
          <w:lang w:val="en-US"/>
        </w:rPr>
        <w:t>93: 215-220</w:t>
      </w:r>
      <w:r w:rsidR="000B4D9F">
        <w:rPr>
          <w:sz w:val="20"/>
          <w:szCs w:val="20"/>
          <w:lang w:val="en-US"/>
        </w:rPr>
        <w:t>.</w:t>
      </w:r>
    </w:p>
    <w:p w14:paraId="7386154A" w14:textId="0E32C6C0" w:rsidR="00F33C99" w:rsidRPr="0084474F" w:rsidRDefault="00635AB9" w:rsidP="0084474F">
      <w:pPr>
        <w:pStyle w:val="ListParagraph"/>
        <w:numPr>
          <w:ilvl w:val="0"/>
          <w:numId w:val="1"/>
        </w:numPr>
        <w:rPr>
          <w:sz w:val="20"/>
          <w:szCs w:val="20"/>
          <w:lang w:val="en-US"/>
        </w:rPr>
      </w:pPr>
      <w:r w:rsidRPr="0084474F">
        <w:rPr>
          <w:rFonts w:cstheme="minorHAnsi"/>
          <w:sz w:val="20"/>
          <w:szCs w:val="20"/>
          <w:lang w:val="en-US"/>
        </w:rPr>
        <w:t>IIievski V et al (2018)</w:t>
      </w:r>
      <w:r w:rsidRPr="0084474F">
        <w:rPr>
          <w:sz w:val="20"/>
          <w:szCs w:val="20"/>
          <w:lang w:val="en-US"/>
        </w:rPr>
        <w:t xml:space="preserve"> </w:t>
      </w:r>
      <w:r w:rsidR="000B4D9F" w:rsidRPr="0084474F">
        <w:rPr>
          <w:rFonts w:cstheme="minorHAnsi"/>
          <w:sz w:val="20"/>
          <w:szCs w:val="20"/>
          <w:lang w:eastAsia="en-GB"/>
        </w:rPr>
        <w:t xml:space="preserve">Chronic oral application of a periodontal pathogen results in brain inflammation, neurodegeneration and amyloid beta production in wild type mice. </w:t>
      </w:r>
      <w:r w:rsidR="000B4D9F" w:rsidRPr="0084474F">
        <w:rPr>
          <w:sz w:val="20"/>
          <w:szCs w:val="20"/>
          <w:lang w:val="en-US"/>
        </w:rPr>
        <w:t>PLoS ONE 13 (10): e0204941</w:t>
      </w:r>
    </w:p>
    <w:p w14:paraId="2E646119" w14:textId="77777777" w:rsidR="00F33C99" w:rsidRPr="00F33C99" w:rsidRDefault="00542C60" w:rsidP="00F33C99">
      <w:pPr>
        <w:pStyle w:val="ListParagraph"/>
        <w:numPr>
          <w:ilvl w:val="0"/>
          <w:numId w:val="1"/>
        </w:numPr>
        <w:rPr>
          <w:sz w:val="20"/>
          <w:szCs w:val="20"/>
          <w:lang w:val="en-US"/>
        </w:rPr>
      </w:pPr>
      <w:r w:rsidRPr="00F33C99">
        <w:rPr>
          <w:rFonts w:eastAsiaTheme="minorEastAsia"/>
          <w:sz w:val="20"/>
          <w:szCs w:val="20"/>
          <w:lang w:val="en-US"/>
        </w:rPr>
        <w:t>Van de Guchte et al.</w:t>
      </w:r>
      <w:r w:rsidR="00F33C99" w:rsidRPr="00F33C99">
        <w:rPr>
          <w:sz w:val="20"/>
          <w:szCs w:val="20"/>
          <w:lang w:val="en-US"/>
        </w:rPr>
        <w:t xml:space="preserve"> </w:t>
      </w:r>
      <w:r w:rsidR="00F33C99" w:rsidRPr="00F33C99">
        <w:rPr>
          <w:rFonts w:eastAsiaTheme="minorEastAsia"/>
          <w:sz w:val="20"/>
          <w:szCs w:val="20"/>
          <w:lang w:val="en-US"/>
        </w:rPr>
        <w:t xml:space="preserve">(2018) </w:t>
      </w:r>
      <w:r w:rsidR="00F33C99" w:rsidRPr="00F33C99">
        <w:rPr>
          <w:rFonts w:cstheme="minorHAnsi"/>
          <w:color w:val="111111"/>
          <w:sz w:val="20"/>
          <w:szCs w:val="20"/>
          <w:lang w:eastAsia="en-GB"/>
        </w:rPr>
        <w:t>Humans as holobionts: implications for prevention and therapy.</w:t>
      </w:r>
      <w:r w:rsidR="00F33C99" w:rsidRPr="00F33C99">
        <w:rPr>
          <w:rFonts w:ascii="PlfkdwAdvTTe45e47d2" w:hAnsi="PlfkdwAdvTTe45e47d2"/>
          <w:color w:val="111111"/>
          <w:sz w:val="46"/>
          <w:szCs w:val="46"/>
          <w:lang w:eastAsia="en-GB"/>
        </w:rPr>
        <w:t xml:space="preserve"> </w:t>
      </w:r>
      <w:r w:rsidRPr="00F33C99">
        <w:rPr>
          <w:rFonts w:eastAsiaTheme="minorEastAsia"/>
          <w:sz w:val="20"/>
          <w:szCs w:val="20"/>
          <w:lang w:val="en-US"/>
        </w:rPr>
        <w:t>Microbiome  6:81</w:t>
      </w:r>
    </w:p>
    <w:p w14:paraId="7BCFEB15" w14:textId="2231D998" w:rsidR="00542C60" w:rsidRPr="0084474F" w:rsidRDefault="0084474F" w:rsidP="0084474F">
      <w:pPr>
        <w:pStyle w:val="ListParagraph"/>
        <w:numPr>
          <w:ilvl w:val="0"/>
          <w:numId w:val="1"/>
        </w:numPr>
        <w:rPr>
          <w:sz w:val="20"/>
          <w:szCs w:val="20"/>
          <w:lang w:val="en-US"/>
        </w:rPr>
      </w:pPr>
      <w:r w:rsidRPr="0084474F">
        <w:rPr>
          <w:sz w:val="20"/>
          <w:szCs w:val="20"/>
          <w:lang w:val="en-US"/>
        </w:rPr>
        <w:t xml:space="preserve">Deo PM &amp; Deshmuck R Oral microbiome: Unveiling the fundamentals (2019) </w:t>
      </w:r>
      <w:r w:rsidR="00F33C99" w:rsidRPr="0084474F">
        <w:rPr>
          <w:sz w:val="20"/>
          <w:szCs w:val="20"/>
          <w:lang w:val="en-US"/>
        </w:rPr>
        <w:t xml:space="preserve">J. Oral Maxillofac Pathol </w:t>
      </w:r>
      <w:r w:rsidR="00542C60" w:rsidRPr="0084474F">
        <w:rPr>
          <w:sz w:val="20"/>
          <w:szCs w:val="20"/>
          <w:lang w:val="en-US"/>
        </w:rPr>
        <w:t>Jan-Apr: 23(1): 122-128</w:t>
      </w:r>
    </w:p>
    <w:p w14:paraId="78658FCF" w14:textId="6B2442A8" w:rsidR="00A67578" w:rsidRPr="004324D2" w:rsidRDefault="0036126A" w:rsidP="00A67578">
      <w:pPr>
        <w:pStyle w:val="ListParagraph"/>
        <w:numPr>
          <w:ilvl w:val="0"/>
          <w:numId w:val="1"/>
        </w:numPr>
        <w:rPr>
          <w:sz w:val="20"/>
          <w:szCs w:val="20"/>
        </w:rPr>
      </w:pPr>
      <w:r w:rsidRPr="0084474F">
        <w:rPr>
          <w:sz w:val="20"/>
          <w:szCs w:val="20"/>
          <w:lang w:val="en-US"/>
        </w:rPr>
        <w:t xml:space="preserve">Tetz G (2020) Bacteria DNA promotes Tau aggregation. </w:t>
      </w:r>
      <w:r w:rsidR="00542C60" w:rsidRPr="0084474F">
        <w:rPr>
          <w:sz w:val="20"/>
          <w:szCs w:val="20"/>
          <w:lang w:val="en-US"/>
        </w:rPr>
        <w:t>Nature Scientific reports 10:2369</w:t>
      </w:r>
    </w:p>
    <w:p w14:paraId="7544385D" w14:textId="3BAD54A0" w:rsidR="00E36793" w:rsidRDefault="00E36793" w:rsidP="00542C60">
      <w:pPr>
        <w:rPr>
          <w:sz w:val="20"/>
          <w:szCs w:val="20"/>
        </w:rPr>
      </w:pPr>
      <w:r>
        <w:rPr>
          <w:sz w:val="20"/>
          <w:szCs w:val="20"/>
        </w:rPr>
        <w:t>__________________________________________________________________________________________</w:t>
      </w:r>
    </w:p>
    <w:p w14:paraId="7F9F2B88" w14:textId="77777777" w:rsidR="00E36793" w:rsidRDefault="00E36793" w:rsidP="00542C60">
      <w:pPr>
        <w:rPr>
          <w:sz w:val="20"/>
          <w:szCs w:val="20"/>
        </w:rPr>
        <w:sectPr w:rsidR="00E36793" w:rsidSect="00542C60">
          <w:type w:val="continuous"/>
          <w:pgSz w:w="11900" w:h="16840"/>
          <w:pgMar w:top="1440" w:right="1440" w:bottom="1440" w:left="1440" w:header="708" w:footer="708" w:gutter="0"/>
          <w:cols w:space="708"/>
          <w:docGrid w:linePitch="360"/>
        </w:sectPr>
      </w:pPr>
    </w:p>
    <w:p w14:paraId="2EFC8AD9" w14:textId="1548A720" w:rsidR="00542C60" w:rsidRDefault="00542C60" w:rsidP="00542C60">
      <w:pPr>
        <w:rPr>
          <w:sz w:val="20"/>
          <w:szCs w:val="20"/>
        </w:rPr>
      </w:pPr>
    </w:p>
    <w:p w14:paraId="1F4022C3" w14:textId="2B5791B6" w:rsidR="00A26287" w:rsidRPr="00542C60" w:rsidRDefault="00A26287" w:rsidP="00542C60">
      <w:pPr>
        <w:rPr>
          <w:sz w:val="20"/>
          <w:szCs w:val="20"/>
        </w:rPr>
      </w:pPr>
      <w:r>
        <w:rPr>
          <w:noProof/>
          <w:sz w:val="20"/>
          <w:szCs w:val="20"/>
        </w:rPr>
        <w:drawing>
          <wp:inline distT="0" distB="0" distL="0" distR="0" wp14:anchorId="597DB401" wp14:editId="0A67EE90">
            <wp:extent cx="873125" cy="931590"/>
            <wp:effectExtent l="0" t="0" r="3175" b="0"/>
            <wp:docPr id="3" name="Picture 3" descr="A person look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tesmallimage.jpg"/>
                    <pic:cNvPicPr/>
                  </pic:nvPicPr>
                  <pic:blipFill>
                    <a:blip r:embed="rId6" cstate="screen">
                      <a:extLst>
                        <a:ext uri="{28A0092B-C50C-407E-A947-70E740481C1C}">
                          <a14:useLocalDpi xmlns:a14="http://schemas.microsoft.com/office/drawing/2010/main"/>
                        </a:ext>
                      </a:extLst>
                    </a:blip>
                    <a:stretch>
                      <a:fillRect/>
                    </a:stretch>
                  </pic:blipFill>
                  <pic:spPr>
                    <a:xfrm>
                      <a:off x="0" y="0"/>
                      <a:ext cx="923717" cy="985570"/>
                    </a:xfrm>
                    <a:prstGeom prst="rect">
                      <a:avLst/>
                    </a:prstGeom>
                  </pic:spPr>
                </pic:pic>
              </a:graphicData>
            </a:graphic>
          </wp:inline>
        </w:drawing>
      </w:r>
    </w:p>
    <w:p w14:paraId="5A62D0A1" w14:textId="40D52A1E" w:rsidR="00A67578" w:rsidRPr="00495A8A" w:rsidRDefault="00E36793" w:rsidP="00A67578">
      <w:pPr>
        <w:rPr>
          <w:rFonts w:cstheme="minorHAnsi"/>
          <w:sz w:val="20"/>
          <w:szCs w:val="20"/>
        </w:rPr>
      </w:pPr>
      <w:r>
        <w:rPr>
          <w:sz w:val="20"/>
          <w:szCs w:val="20"/>
        </w:rPr>
        <w:t>Biography:</w:t>
      </w:r>
      <w:r w:rsidR="00A67578">
        <w:rPr>
          <w:sz w:val="20"/>
          <w:szCs w:val="20"/>
        </w:rPr>
        <w:t xml:space="preserve"> </w:t>
      </w:r>
      <w:r w:rsidRPr="00495A8A">
        <w:rPr>
          <w:rFonts w:cstheme="minorHAnsi"/>
          <w:sz w:val="20"/>
          <w:szCs w:val="20"/>
        </w:rPr>
        <w:t xml:space="preserve">Founder of </w:t>
      </w:r>
      <w:hyperlink r:id="rId7" w:history="1">
        <w:r w:rsidRPr="00495A8A">
          <w:rPr>
            <w:rStyle w:val="Hyperlink"/>
            <w:rFonts w:cstheme="minorHAnsi"/>
            <w:sz w:val="20"/>
            <w:szCs w:val="20"/>
          </w:rPr>
          <w:t>Functional Medicine Associates</w:t>
        </w:r>
      </w:hyperlink>
      <w:r w:rsidRPr="00495A8A">
        <w:rPr>
          <w:rFonts w:cstheme="minorHAnsi"/>
          <w:sz w:val="20"/>
          <w:szCs w:val="20"/>
        </w:rPr>
        <w:t xml:space="preserve"> Pete is an exercise and medical scientist </w:t>
      </w:r>
      <w:r w:rsidRPr="00495A8A">
        <w:rPr>
          <w:rFonts w:cstheme="minorHAnsi"/>
          <w:color w:val="000000" w:themeColor="text1"/>
          <w:sz w:val="20"/>
          <w:szCs w:val="20"/>
          <w:shd w:val="clear" w:color="auto" w:fill="FFFFFF"/>
        </w:rPr>
        <w:t xml:space="preserve">with an expertise in applying “Systems Biology” to chronic disease. In 2013 </w:t>
      </w:r>
      <w:r w:rsidRPr="00495A8A">
        <w:rPr>
          <w:rFonts w:cstheme="minorHAnsi"/>
          <w:sz w:val="20"/>
          <w:szCs w:val="20"/>
        </w:rPr>
        <w:t>he was in the first cohort (worldwide) to be awarded Institute for Functional Medicine Certified Practitioner status and has represented the Institute for Functional Medicine as a Clinical Innovator. Pete has had over 20 years of experience applying Functional Medicine in clinical practice. He is Bredesen trained and over the last 5 years he and his team have become increasingly interested in brain health, cognitive decline and neuroinflammation, with an interest in border control, genetics, microbiome an</w:t>
      </w:r>
      <w:r w:rsidR="00A67578" w:rsidRPr="00495A8A">
        <w:rPr>
          <w:rFonts w:cstheme="minorHAnsi"/>
          <w:sz w:val="20"/>
          <w:szCs w:val="20"/>
        </w:rPr>
        <w:t>d the  “exposome”</w:t>
      </w:r>
    </w:p>
    <w:p w14:paraId="159F45C5" w14:textId="1BEA939F" w:rsidR="00A67578" w:rsidRPr="00A67578" w:rsidRDefault="00A67578" w:rsidP="00A67578">
      <w:pPr>
        <w:rPr>
          <w:sz w:val="20"/>
          <w:szCs w:val="20"/>
        </w:rPr>
        <w:sectPr w:rsidR="00A67578" w:rsidRPr="00A67578" w:rsidSect="00A67578">
          <w:type w:val="continuous"/>
          <w:pgSz w:w="11900" w:h="16840"/>
          <w:pgMar w:top="1440" w:right="1440" w:bottom="1440" w:left="1440" w:header="708" w:footer="708" w:gutter="0"/>
          <w:cols w:space="708"/>
          <w:docGrid w:linePitch="360"/>
        </w:sectPr>
      </w:pPr>
    </w:p>
    <w:p w14:paraId="05BC5F37" w14:textId="0AB64619" w:rsidR="00E36793" w:rsidRPr="000221E9" w:rsidRDefault="00A67578" w:rsidP="00A67578">
      <w:pPr>
        <w:pStyle w:val="NormalWeb"/>
        <w:spacing w:before="0" w:beforeAutospacing="0" w:after="240" w:afterAutospacing="0"/>
        <w:textAlignment w:val="baseline"/>
        <w:rPr>
          <w:rFonts w:asciiTheme="minorHAnsi" w:hAnsiTheme="minorHAnsi" w:cstheme="minorHAnsi"/>
          <w:b/>
          <w:bCs/>
          <w:sz w:val="20"/>
          <w:szCs w:val="20"/>
        </w:rPr>
      </w:pPr>
      <w:r w:rsidRPr="000221E9">
        <w:rPr>
          <w:rFonts w:asciiTheme="minorHAnsi" w:hAnsiTheme="minorHAnsi" w:cstheme="minorHAnsi"/>
          <w:b/>
          <w:bCs/>
          <w:sz w:val="20"/>
          <w:szCs w:val="20"/>
        </w:rPr>
        <w:t>Email: pete@fm.associates</w:t>
      </w:r>
    </w:p>
    <w:p w14:paraId="2F40DB03" w14:textId="51E7E815" w:rsidR="00E36793" w:rsidRPr="00A67578" w:rsidRDefault="00E36793" w:rsidP="00A67578">
      <w:pPr>
        <w:rPr>
          <w:rFonts w:cstheme="minorHAnsi"/>
          <w:sz w:val="20"/>
          <w:szCs w:val="20"/>
        </w:rPr>
      </w:pPr>
    </w:p>
    <w:sectPr w:rsidR="00E36793" w:rsidRPr="00A67578" w:rsidSect="00E36793">
      <w:type w:val="continuous"/>
      <w:pgSz w:w="11900" w:h="16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lfkdwAdvTTe45e47d2">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AD3C61"/>
    <w:multiLevelType w:val="hybridMultilevel"/>
    <w:tmpl w:val="7534D6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F65C9C"/>
    <w:multiLevelType w:val="hybridMultilevel"/>
    <w:tmpl w:val="7534D6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7D7"/>
    <w:rsid w:val="000221E9"/>
    <w:rsid w:val="000B4D9F"/>
    <w:rsid w:val="000E51C4"/>
    <w:rsid w:val="0010610B"/>
    <w:rsid w:val="00187B43"/>
    <w:rsid w:val="00282F9B"/>
    <w:rsid w:val="003052D2"/>
    <w:rsid w:val="003167A9"/>
    <w:rsid w:val="0036126A"/>
    <w:rsid w:val="003B73E7"/>
    <w:rsid w:val="003D173F"/>
    <w:rsid w:val="004324D2"/>
    <w:rsid w:val="00495A8A"/>
    <w:rsid w:val="004A11C1"/>
    <w:rsid w:val="00542C60"/>
    <w:rsid w:val="005B0E08"/>
    <w:rsid w:val="005B5286"/>
    <w:rsid w:val="005B61EA"/>
    <w:rsid w:val="00635AB9"/>
    <w:rsid w:val="0074117C"/>
    <w:rsid w:val="00760F10"/>
    <w:rsid w:val="0083078E"/>
    <w:rsid w:val="0084474F"/>
    <w:rsid w:val="008B6EBC"/>
    <w:rsid w:val="008F5676"/>
    <w:rsid w:val="00964145"/>
    <w:rsid w:val="00A26287"/>
    <w:rsid w:val="00A67578"/>
    <w:rsid w:val="00A957C1"/>
    <w:rsid w:val="00D32B98"/>
    <w:rsid w:val="00D53991"/>
    <w:rsid w:val="00D70201"/>
    <w:rsid w:val="00DB5B1F"/>
    <w:rsid w:val="00E36793"/>
    <w:rsid w:val="00E857D7"/>
    <w:rsid w:val="00F33C99"/>
    <w:rsid w:val="00F93542"/>
    <w:rsid w:val="00F94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1ED02BF"/>
  <w15:chartTrackingRefBased/>
  <w15:docId w15:val="{A851521C-6AE7-944F-8AD7-3AEB2948E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2C60"/>
    <w:pPr>
      <w:ind w:left="720"/>
      <w:contextualSpacing/>
    </w:pPr>
  </w:style>
  <w:style w:type="paragraph" w:styleId="NormalWeb">
    <w:name w:val="Normal (Web)"/>
    <w:basedOn w:val="Normal"/>
    <w:uiPriority w:val="99"/>
    <w:unhideWhenUsed/>
    <w:rsid w:val="00E3679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E367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323310">
      <w:bodyDiv w:val="1"/>
      <w:marLeft w:val="0"/>
      <w:marRight w:val="0"/>
      <w:marTop w:val="0"/>
      <w:marBottom w:val="0"/>
      <w:divBdr>
        <w:top w:val="none" w:sz="0" w:space="0" w:color="auto"/>
        <w:left w:val="none" w:sz="0" w:space="0" w:color="auto"/>
        <w:bottom w:val="none" w:sz="0" w:space="0" w:color="auto"/>
        <w:right w:val="none" w:sz="0" w:space="0" w:color="auto"/>
      </w:divBdr>
    </w:div>
    <w:div w:id="225918738">
      <w:bodyDiv w:val="1"/>
      <w:marLeft w:val="0"/>
      <w:marRight w:val="0"/>
      <w:marTop w:val="0"/>
      <w:marBottom w:val="0"/>
      <w:divBdr>
        <w:top w:val="none" w:sz="0" w:space="0" w:color="auto"/>
        <w:left w:val="none" w:sz="0" w:space="0" w:color="auto"/>
        <w:bottom w:val="none" w:sz="0" w:space="0" w:color="auto"/>
        <w:right w:val="none" w:sz="0" w:space="0" w:color="auto"/>
      </w:divBdr>
      <w:divsChild>
        <w:div w:id="1882286485">
          <w:marLeft w:val="0"/>
          <w:marRight w:val="0"/>
          <w:marTop w:val="0"/>
          <w:marBottom w:val="0"/>
          <w:divBdr>
            <w:top w:val="none" w:sz="0" w:space="0" w:color="auto"/>
            <w:left w:val="none" w:sz="0" w:space="0" w:color="auto"/>
            <w:bottom w:val="none" w:sz="0" w:space="0" w:color="auto"/>
            <w:right w:val="none" w:sz="0" w:space="0" w:color="auto"/>
          </w:divBdr>
          <w:divsChild>
            <w:div w:id="673533130">
              <w:marLeft w:val="0"/>
              <w:marRight w:val="0"/>
              <w:marTop w:val="0"/>
              <w:marBottom w:val="0"/>
              <w:divBdr>
                <w:top w:val="none" w:sz="0" w:space="0" w:color="auto"/>
                <w:left w:val="none" w:sz="0" w:space="0" w:color="auto"/>
                <w:bottom w:val="none" w:sz="0" w:space="0" w:color="auto"/>
                <w:right w:val="none" w:sz="0" w:space="0" w:color="auto"/>
              </w:divBdr>
              <w:divsChild>
                <w:div w:id="101431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065856">
      <w:bodyDiv w:val="1"/>
      <w:marLeft w:val="0"/>
      <w:marRight w:val="0"/>
      <w:marTop w:val="0"/>
      <w:marBottom w:val="0"/>
      <w:divBdr>
        <w:top w:val="none" w:sz="0" w:space="0" w:color="auto"/>
        <w:left w:val="none" w:sz="0" w:space="0" w:color="auto"/>
        <w:bottom w:val="none" w:sz="0" w:space="0" w:color="auto"/>
        <w:right w:val="none" w:sz="0" w:space="0" w:color="auto"/>
      </w:divBdr>
    </w:div>
    <w:div w:id="661011154">
      <w:bodyDiv w:val="1"/>
      <w:marLeft w:val="0"/>
      <w:marRight w:val="0"/>
      <w:marTop w:val="0"/>
      <w:marBottom w:val="0"/>
      <w:divBdr>
        <w:top w:val="none" w:sz="0" w:space="0" w:color="auto"/>
        <w:left w:val="none" w:sz="0" w:space="0" w:color="auto"/>
        <w:bottom w:val="none" w:sz="0" w:space="0" w:color="auto"/>
        <w:right w:val="none" w:sz="0" w:space="0" w:color="auto"/>
      </w:divBdr>
    </w:div>
    <w:div w:id="1071151241">
      <w:bodyDiv w:val="1"/>
      <w:marLeft w:val="0"/>
      <w:marRight w:val="0"/>
      <w:marTop w:val="0"/>
      <w:marBottom w:val="0"/>
      <w:divBdr>
        <w:top w:val="none" w:sz="0" w:space="0" w:color="auto"/>
        <w:left w:val="none" w:sz="0" w:space="0" w:color="auto"/>
        <w:bottom w:val="none" w:sz="0" w:space="0" w:color="auto"/>
        <w:right w:val="none" w:sz="0" w:space="0" w:color="auto"/>
      </w:divBdr>
    </w:div>
    <w:div w:id="1766144393">
      <w:bodyDiv w:val="1"/>
      <w:marLeft w:val="0"/>
      <w:marRight w:val="0"/>
      <w:marTop w:val="0"/>
      <w:marBottom w:val="0"/>
      <w:divBdr>
        <w:top w:val="none" w:sz="0" w:space="0" w:color="auto"/>
        <w:left w:val="none" w:sz="0" w:space="0" w:color="auto"/>
        <w:bottom w:val="none" w:sz="0" w:space="0" w:color="auto"/>
        <w:right w:val="none" w:sz="0" w:space="0" w:color="auto"/>
      </w:divBdr>
      <w:divsChild>
        <w:div w:id="2114398153">
          <w:marLeft w:val="0"/>
          <w:marRight w:val="0"/>
          <w:marTop w:val="0"/>
          <w:marBottom w:val="0"/>
          <w:divBdr>
            <w:top w:val="none" w:sz="0" w:space="0" w:color="auto"/>
            <w:left w:val="none" w:sz="0" w:space="0" w:color="auto"/>
            <w:bottom w:val="none" w:sz="0" w:space="0" w:color="auto"/>
            <w:right w:val="none" w:sz="0" w:space="0" w:color="auto"/>
          </w:divBdr>
          <w:divsChild>
            <w:div w:id="192497575">
              <w:marLeft w:val="0"/>
              <w:marRight w:val="0"/>
              <w:marTop w:val="0"/>
              <w:marBottom w:val="0"/>
              <w:divBdr>
                <w:top w:val="none" w:sz="0" w:space="0" w:color="auto"/>
                <w:left w:val="none" w:sz="0" w:space="0" w:color="auto"/>
                <w:bottom w:val="none" w:sz="0" w:space="0" w:color="auto"/>
                <w:right w:val="none" w:sz="0" w:space="0" w:color="auto"/>
              </w:divBdr>
              <w:divsChild>
                <w:div w:id="207430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62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unctional-medicine.associa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390</Words>
  <Characters>2368</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Williams</dc:creator>
  <cp:keywords/>
  <dc:description/>
  <cp:lastModifiedBy>Pete Williams</cp:lastModifiedBy>
  <cp:revision>28</cp:revision>
  <dcterms:created xsi:type="dcterms:W3CDTF">2020-06-20T13:18:00Z</dcterms:created>
  <dcterms:modified xsi:type="dcterms:W3CDTF">2020-06-21T11:51:00Z</dcterms:modified>
  <cp:category/>
</cp:coreProperties>
</file>