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73014" w14:textId="39B9A4B3" w:rsidR="002B7A37" w:rsidRPr="00A81918" w:rsidRDefault="002B7A37" w:rsidP="002B7A37">
      <w:pPr>
        <w:jc w:val="both"/>
        <w:rPr>
          <w:rFonts w:ascii="Times New Roman" w:hAnsi="Times New Roman" w:cs="Times New Roman"/>
          <w:b/>
          <w:bCs/>
          <w:sz w:val="24"/>
          <w:szCs w:val="24"/>
        </w:rPr>
      </w:pPr>
      <w:r w:rsidRPr="00A81918">
        <w:rPr>
          <w:rFonts w:ascii="Times New Roman" w:hAnsi="Times New Roman" w:cs="Times New Roman"/>
          <w:b/>
          <w:bCs/>
          <w:sz w:val="24"/>
          <w:szCs w:val="24"/>
        </w:rPr>
        <w:t>Evaluation of Health Promotion Intervention on Lifestyle Predictors of Ageing and Biological Age of Nigerian Adults</w:t>
      </w:r>
    </w:p>
    <w:p w14:paraId="21F03A20" w14:textId="2951162C" w:rsidR="002B7A37" w:rsidRPr="00A81918" w:rsidRDefault="002B7A37" w:rsidP="002B7A37">
      <w:pPr>
        <w:jc w:val="center"/>
        <w:rPr>
          <w:rFonts w:ascii="Times New Roman" w:hAnsi="Times New Roman" w:cs="Times New Roman"/>
          <w:b/>
          <w:bCs/>
          <w:sz w:val="24"/>
          <w:szCs w:val="24"/>
        </w:rPr>
      </w:pPr>
      <w:r w:rsidRPr="00A81918">
        <w:rPr>
          <w:rFonts w:ascii="Times New Roman" w:hAnsi="Times New Roman" w:cs="Times New Roman"/>
          <w:b/>
          <w:bCs/>
          <w:sz w:val="24"/>
          <w:szCs w:val="24"/>
        </w:rPr>
        <w:t>Adelowo A.B.</w:t>
      </w:r>
    </w:p>
    <w:p w14:paraId="26CC6D21" w14:textId="155409A8" w:rsidR="002B7A37" w:rsidRPr="00A81918" w:rsidRDefault="002B7A37" w:rsidP="002B7A37">
      <w:pPr>
        <w:rPr>
          <w:rFonts w:ascii="Times New Roman" w:hAnsi="Times New Roman" w:cs="Times New Roman"/>
          <w:sz w:val="24"/>
          <w:szCs w:val="24"/>
        </w:rPr>
      </w:pPr>
      <w:r w:rsidRPr="00A81918">
        <w:rPr>
          <w:rFonts w:ascii="Times New Roman" w:hAnsi="Times New Roman" w:cs="Times New Roman"/>
          <w:sz w:val="24"/>
          <w:szCs w:val="24"/>
        </w:rPr>
        <w:t xml:space="preserve">Department of Public health, </w:t>
      </w:r>
      <w:bookmarkStart w:id="0" w:name="_Hlk111494222"/>
      <w:r w:rsidRPr="00A81918">
        <w:rPr>
          <w:rFonts w:ascii="Times New Roman" w:hAnsi="Times New Roman" w:cs="Times New Roman"/>
          <w:sz w:val="24"/>
          <w:szCs w:val="24"/>
        </w:rPr>
        <w:t>Texila American University, Guyana</w:t>
      </w:r>
      <w:bookmarkEnd w:id="0"/>
    </w:p>
    <w:p w14:paraId="4BCC4AC1" w14:textId="77777777" w:rsidR="002B7A37" w:rsidRPr="00A81918" w:rsidRDefault="002B7A37" w:rsidP="002B7A37">
      <w:pPr>
        <w:jc w:val="both"/>
        <w:rPr>
          <w:rFonts w:ascii="Times New Roman" w:hAnsi="Times New Roman" w:cs="Times New Roman"/>
          <w:b/>
          <w:bCs/>
          <w:sz w:val="24"/>
          <w:szCs w:val="24"/>
        </w:rPr>
      </w:pPr>
      <w:r w:rsidRPr="00A81918">
        <w:rPr>
          <w:rFonts w:ascii="Times New Roman" w:hAnsi="Times New Roman" w:cs="Times New Roman"/>
          <w:b/>
          <w:bCs/>
          <w:sz w:val="24"/>
          <w:szCs w:val="24"/>
        </w:rPr>
        <w:t>Abstract</w:t>
      </w:r>
    </w:p>
    <w:p w14:paraId="775C9FA2" w14:textId="6F21C17B" w:rsidR="002B7A37" w:rsidRPr="00A81918" w:rsidRDefault="002B7A37" w:rsidP="002B7A37">
      <w:pPr>
        <w:jc w:val="both"/>
        <w:rPr>
          <w:rFonts w:ascii="Times New Roman" w:hAnsi="Times New Roman" w:cs="Times New Roman"/>
          <w:sz w:val="24"/>
          <w:szCs w:val="24"/>
        </w:rPr>
      </w:pPr>
      <w:r w:rsidRPr="004C280B">
        <w:rPr>
          <w:rFonts w:ascii="Times New Roman" w:hAnsi="Times New Roman" w:cs="Times New Roman"/>
          <w:b/>
          <w:bCs/>
          <w:sz w:val="24"/>
          <w:szCs w:val="24"/>
        </w:rPr>
        <w:t>Statement of the Problem:</w:t>
      </w:r>
      <w:r w:rsidRPr="00A81918">
        <w:rPr>
          <w:rFonts w:ascii="Times New Roman" w:hAnsi="Times New Roman" w:cs="Times New Roman"/>
          <w:sz w:val="24"/>
          <w:szCs w:val="24"/>
        </w:rPr>
        <w:t xml:space="preserve"> Although ageing is not a disease, it often increases the risk of developing many chronic diseases (such as cardiovascular diseases) and some infectious diseases (such as COVID-19). Studies have demonstrated that some lifestyle practices have the potential to either accelerate or slow down the ageing process. Mitigating these lifestyle predictors of ageing may be vital in the global efforts to achieve healthy life expectancy.  However, such a prospect has not been fully explored in sub-Saharan Africa. The purpose of the study was to evaluate the effects of a health promotion intervention program on selected lifestyle predictors of ageing and the estimated biological age of Nigerian adults. </w:t>
      </w:r>
    </w:p>
    <w:p w14:paraId="3764FBAB" w14:textId="77777777" w:rsidR="002B7A37" w:rsidRPr="00A81918" w:rsidRDefault="002B7A37" w:rsidP="002B7A37">
      <w:pPr>
        <w:jc w:val="both"/>
        <w:rPr>
          <w:rFonts w:ascii="Times New Roman" w:hAnsi="Times New Roman" w:cs="Times New Roman"/>
          <w:sz w:val="24"/>
          <w:szCs w:val="24"/>
        </w:rPr>
      </w:pPr>
      <w:r w:rsidRPr="004C280B">
        <w:rPr>
          <w:rFonts w:ascii="Times New Roman" w:hAnsi="Times New Roman" w:cs="Times New Roman"/>
          <w:b/>
          <w:bCs/>
          <w:sz w:val="24"/>
          <w:szCs w:val="24"/>
        </w:rPr>
        <w:t>Methodology and Theoretical Orientation:</w:t>
      </w:r>
      <w:r w:rsidRPr="00A81918">
        <w:rPr>
          <w:rFonts w:ascii="Times New Roman" w:hAnsi="Times New Roman" w:cs="Times New Roman"/>
          <w:sz w:val="24"/>
          <w:szCs w:val="24"/>
        </w:rPr>
        <w:t xml:space="preserve"> A pre-test post-test experimental research design with control was used to conduct a 14-week health promotion intervention on 82 Nigerian adults. The Free Radical Theory and Health Belief Model were used to focus the intervention on lifestyle modification. The statistics were analyzed at a 0.05 level of significance. </w:t>
      </w:r>
    </w:p>
    <w:p w14:paraId="3817A5AA" w14:textId="77777777" w:rsidR="002B7A37" w:rsidRPr="00A81918" w:rsidRDefault="002B7A37" w:rsidP="002B7A37">
      <w:pPr>
        <w:jc w:val="both"/>
        <w:rPr>
          <w:rFonts w:ascii="Times New Roman" w:hAnsi="Times New Roman" w:cs="Times New Roman"/>
          <w:sz w:val="24"/>
          <w:szCs w:val="24"/>
        </w:rPr>
      </w:pPr>
      <w:r w:rsidRPr="004C280B">
        <w:rPr>
          <w:rFonts w:ascii="Times New Roman" w:hAnsi="Times New Roman" w:cs="Times New Roman"/>
          <w:b/>
          <w:bCs/>
          <w:sz w:val="24"/>
          <w:szCs w:val="24"/>
        </w:rPr>
        <w:t>Findings:</w:t>
      </w:r>
      <w:r w:rsidRPr="00A81918">
        <w:rPr>
          <w:rFonts w:ascii="Times New Roman" w:hAnsi="Times New Roman" w:cs="Times New Roman"/>
          <w:sz w:val="24"/>
          <w:szCs w:val="24"/>
        </w:rPr>
        <w:t xml:space="preserve"> The intervention significantly improved the mean difference scores of the intervention groups’ diet quality (2.86, 95% CI: 9.44–10.16) after 6 weeks, which was sustained after 14 weeks (2.43, 95% CI: 9.03–9.62); physical activity after 6 weeks (0.39, 95% CI:1.71–2.01)) and after14 weeks (0.28, 95% CI:1.456–1.70); sleep quality after 6 weeks (-2.07, 95% CI:3.60–4.13) and after 14 weeks (-1.60, 95% CI:4.07–4.60); stress perception after 6 weeks (-2.86, 95% CI: 2.97–3.76) and after 14 weeks (-2.17, 95% CI:3.67–4.44); and social connectedness after 6 weeks (2.05, 95% CI:16.95–17.70) and after 14 weeks (2.38, 95% CI: 17.21–18.16). The intervention also significantly reduced the mean difference in the estimated biological age of the intervention group after 6 weeks (-2.97, 95% CI: 42.48–43.30) and after 14 weeks (-2.14, 95% CI:43.38–44.10).</w:t>
      </w:r>
    </w:p>
    <w:p w14:paraId="7E3B3CBA" w14:textId="528D5C15" w:rsidR="002B7A37" w:rsidRDefault="002B7A37" w:rsidP="002B7A37">
      <w:pPr>
        <w:jc w:val="both"/>
        <w:rPr>
          <w:rFonts w:ascii="Times New Roman" w:hAnsi="Times New Roman" w:cs="Times New Roman"/>
          <w:sz w:val="24"/>
          <w:szCs w:val="24"/>
        </w:rPr>
      </w:pPr>
      <w:r w:rsidRPr="004C280B">
        <w:rPr>
          <w:rFonts w:ascii="Times New Roman" w:hAnsi="Times New Roman" w:cs="Times New Roman"/>
          <w:b/>
          <w:bCs/>
          <w:sz w:val="24"/>
          <w:szCs w:val="24"/>
        </w:rPr>
        <w:t>Conclusion and Significance:</w:t>
      </w:r>
      <w:r w:rsidRPr="00A81918">
        <w:rPr>
          <w:rFonts w:ascii="Times New Roman" w:hAnsi="Times New Roman" w:cs="Times New Roman"/>
          <w:sz w:val="24"/>
          <w:szCs w:val="24"/>
        </w:rPr>
        <w:t xml:space="preserve"> The health promotion intervention program was effective in positively modifying the selected lifestyle predictors of ageing and </w:t>
      </w:r>
      <w:r w:rsidR="00F46CBA">
        <w:rPr>
          <w:rFonts w:ascii="Times New Roman" w:hAnsi="Times New Roman" w:cs="Times New Roman"/>
          <w:sz w:val="24"/>
          <w:szCs w:val="24"/>
        </w:rPr>
        <w:t xml:space="preserve">in reducing </w:t>
      </w:r>
      <w:r w:rsidRPr="00A81918">
        <w:rPr>
          <w:rFonts w:ascii="Times New Roman" w:hAnsi="Times New Roman" w:cs="Times New Roman"/>
          <w:sz w:val="24"/>
          <w:szCs w:val="24"/>
        </w:rPr>
        <w:t xml:space="preserve">the estimated biological age of Nigerian adults. To increase the possibility of healthy ageing among the citizen, such programs should be replicated in </w:t>
      </w:r>
      <w:r w:rsidR="00F46CBA">
        <w:rPr>
          <w:rFonts w:ascii="Times New Roman" w:hAnsi="Times New Roman" w:cs="Times New Roman"/>
          <w:sz w:val="24"/>
          <w:szCs w:val="24"/>
        </w:rPr>
        <w:t>different cluster of the country</w:t>
      </w:r>
      <w:r w:rsidRPr="00A81918">
        <w:rPr>
          <w:rFonts w:ascii="Times New Roman" w:hAnsi="Times New Roman" w:cs="Times New Roman"/>
          <w:sz w:val="24"/>
          <w:szCs w:val="24"/>
        </w:rPr>
        <w:t xml:space="preserve">. </w:t>
      </w:r>
    </w:p>
    <w:p w14:paraId="052FA22F" w14:textId="77777777" w:rsidR="004C280B" w:rsidRPr="00A81918" w:rsidRDefault="004C280B" w:rsidP="002B7A37">
      <w:pPr>
        <w:jc w:val="both"/>
        <w:rPr>
          <w:rFonts w:ascii="Times New Roman" w:hAnsi="Times New Roman" w:cs="Times New Roman"/>
          <w:sz w:val="24"/>
          <w:szCs w:val="24"/>
        </w:rPr>
      </w:pPr>
    </w:p>
    <w:p w14:paraId="3C857F56" w14:textId="43B46A68" w:rsidR="00A87222" w:rsidRPr="00A81918" w:rsidRDefault="00A87222" w:rsidP="002B7A37">
      <w:pPr>
        <w:jc w:val="both"/>
        <w:rPr>
          <w:rFonts w:ascii="Times New Roman" w:hAnsi="Times New Roman" w:cs="Times New Roman"/>
          <w:sz w:val="24"/>
          <w:szCs w:val="24"/>
        </w:rPr>
      </w:pPr>
      <w:r w:rsidRPr="00A81918">
        <w:rPr>
          <w:rFonts w:ascii="Times New Roman" w:hAnsi="Times New Roman" w:cs="Times New Roman"/>
          <w:noProof/>
          <w:sz w:val="24"/>
          <w:szCs w:val="24"/>
        </w:rPr>
        <w:lastRenderedPageBreak/>
        <w:drawing>
          <wp:inline distT="0" distB="0" distL="0" distR="0" wp14:anchorId="0654B066" wp14:editId="1CBAC215">
            <wp:extent cx="2514600" cy="23336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514600" cy="2333625"/>
                    </a:xfrm>
                    <a:prstGeom prst="rect">
                      <a:avLst/>
                    </a:prstGeom>
                    <a:noFill/>
                  </pic:spPr>
                </pic:pic>
              </a:graphicData>
            </a:graphic>
          </wp:inline>
        </w:drawing>
      </w:r>
    </w:p>
    <w:p w14:paraId="53758F02" w14:textId="4AB9F809" w:rsidR="005A6FAD" w:rsidRPr="00A81918" w:rsidRDefault="00381AF3" w:rsidP="00381AF3">
      <w:pPr>
        <w:jc w:val="both"/>
        <w:rPr>
          <w:rFonts w:ascii="Times New Roman" w:hAnsi="Times New Roman" w:cs="Times New Roman"/>
          <w:b/>
          <w:bCs/>
          <w:sz w:val="24"/>
          <w:szCs w:val="24"/>
        </w:rPr>
      </w:pPr>
      <w:r w:rsidRPr="00A81918">
        <w:rPr>
          <w:rFonts w:ascii="Times New Roman" w:hAnsi="Times New Roman" w:cs="Times New Roman"/>
          <w:b/>
          <w:bCs/>
          <w:sz w:val="24"/>
          <w:szCs w:val="24"/>
        </w:rPr>
        <w:t>Biography</w:t>
      </w:r>
    </w:p>
    <w:p w14:paraId="257FC654" w14:textId="36D87BC3" w:rsidR="005A6FAD" w:rsidRPr="00A81918" w:rsidRDefault="005A6FAD" w:rsidP="00381AF3">
      <w:pPr>
        <w:jc w:val="both"/>
        <w:rPr>
          <w:rFonts w:ascii="Times New Roman" w:hAnsi="Times New Roman" w:cs="Times New Roman"/>
          <w:sz w:val="24"/>
          <w:szCs w:val="24"/>
        </w:rPr>
      </w:pPr>
      <w:r w:rsidRPr="00A81918">
        <w:rPr>
          <w:rFonts w:ascii="Times New Roman" w:hAnsi="Times New Roman" w:cs="Times New Roman"/>
          <w:sz w:val="24"/>
          <w:szCs w:val="24"/>
        </w:rPr>
        <w:t>Dr. Abiodun Bamidele Adelowo is an International Board-Certified Lifestyle Medicine Physician, a UK-certified Occupational Health and Safety practitioner, and a Public Health Specialist. He has more than 16 years</w:t>
      </w:r>
      <w:r w:rsidR="00EF4575">
        <w:rPr>
          <w:rFonts w:ascii="Times New Roman" w:hAnsi="Times New Roman" w:cs="Times New Roman"/>
          <w:sz w:val="24"/>
          <w:szCs w:val="24"/>
        </w:rPr>
        <w:t xml:space="preserve"> of</w:t>
      </w:r>
      <w:r w:rsidRPr="00A81918">
        <w:rPr>
          <w:rFonts w:ascii="Times New Roman" w:hAnsi="Times New Roman" w:cs="Times New Roman"/>
          <w:sz w:val="24"/>
          <w:szCs w:val="24"/>
        </w:rPr>
        <w:t xml:space="preserve"> experience in the fields of Public Health Promotion and Lifestyle Medicine. His interest and work center around the prevention, control</w:t>
      </w:r>
      <w:r w:rsidR="00EF4575">
        <w:rPr>
          <w:rFonts w:ascii="Times New Roman" w:hAnsi="Times New Roman" w:cs="Times New Roman"/>
          <w:sz w:val="24"/>
          <w:szCs w:val="24"/>
        </w:rPr>
        <w:t>,</w:t>
      </w:r>
      <w:r w:rsidRPr="00A81918">
        <w:rPr>
          <w:rFonts w:ascii="Times New Roman" w:hAnsi="Times New Roman" w:cs="Times New Roman"/>
          <w:sz w:val="24"/>
          <w:szCs w:val="24"/>
        </w:rPr>
        <w:t xml:space="preserve"> and </w:t>
      </w:r>
      <w:r w:rsidR="00EF4575">
        <w:rPr>
          <w:rFonts w:ascii="Times New Roman" w:hAnsi="Times New Roman" w:cs="Times New Roman"/>
          <w:sz w:val="24"/>
          <w:szCs w:val="24"/>
        </w:rPr>
        <w:t xml:space="preserve">sometimes </w:t>
      </w:r>
      <w:r w:rsidRPr="00A81918">
        <w:rPr>
          <w:rFonts w:ascii="Times New Roman" w:hAnsi="Times New Roman" w:cs="Times New Roman"/>
          <w:sz w:val="24"/>
          <w:szCs w:val="24"/>
        </w:rPr>
        <w:t xml:space="preserve">reversal of chronic </w:t>
      </w:r>
      <w:r w:rsidR="00B97E94" w:rsidRPr="00A81918">
        <w:rPr>
          <w:rFonts w:ascii="Times New Roman" w:hAnsi="Times New Roman" w:cs="Times New Roman"/>
          <w:sz w:val="24"/>
          <w:szCs w:val="24"/>
        </w:rPr>
        <w:t xml:space="preserve">noncommunicable </w:t>
      </w:r>
      <w:r w:rsidRPr="00A81918">
        <w:rPr>
          <w:rFonts w:ascii="Times New Roman" w:hAnsi="Times New Roman" w:cs="Times New Roman"/>
          <w:sz w:val="24"/>
          <w:szCs w:val="24"/>
        </w:rPr>
        <w:t xml:space="preserve">diseases </w:t>
      </w:r>
      <w:r w:rsidR="00B97E94" w:rsidRPr="00A81918">
        <w:rPr>
          <w:rFonts w:ascii="Times New Roman" w:hAnsi="Times New Roman" w:cs="Times New Roman"/>
          <w:sz w:val="24"/>
          <w:szCs w:val="24"/>
        </w:rPr>
        <w:t xml:space="preserve">and in achieving healthy ageing </w:t>
      </w:r>
      <w:r w:rsidRPr="00A81918">
        <w:rPr>
          <w:rFonts w:ascii="Times New Roman" w:hAnsi="Times New Roman" w:cs="Times New Roman"/>
          <w:sz w:val="24"/>
          <w:szCs w:val="24"/>
        </w:rPr>
        <w:t xml:space="preserve">using evidence-based lifestyle interventions. Aside </w:t>
      </w:r>
      <w:r w:rsidR="0039208E">
        <w:rPr>
          <w:rFonts w:ascii="Times New Roman" w:hAnsi="Times New Roman" w:cs="Times New Roman"/>
          <w:sz w:val="24"/>
          <w:szCs w:val="24"/>
        </w:rPr>
        <w:t xml:space="preserve">from </w:t>
      </w:r>
      <w:r w:rsidRPr="00A81918">
        <w:rPr>
          <w:rFonts w:ascii="Times New Roman" w:hAnsi="Times New Roman" w:cs="Times New Roman"/>
          <w:sz w:val="24"/>
          <w:szCs w:val="24"/>
        </w:rPr>
        <w:t>his medical degree, he holds a Master</w:t>
      </w:r>
      <w:r w:rsidR="003F5624">
        <w:rPr>
          <w:rFonts w:ascii="Times New Roman" w:hAnsi="Times New Roman" w:cs="Times New Roman"/>
          <w:sz w:val="24"/>
          <w:szCs w:val="24"/>
        </w:rPr>
        <w:t>’s</w:t>
      </w:r>
      <w:r w:rsidRPr="00A81918">
        <w:rPr>
          <w:rFonts w:ascii="Times New Roman" w:hAnsi="Times New Roman" w:cs="Times New Roman"/>
          <w:sz w:val="24"/>
          <w:szCs w:val="24"/>
        </w:rPr>
        <w:t xml:space="preserve"> in Public Health, and a Ph.D. in Health Education. </w:t>
      </w:r>
      <w:r w:rsidR="00A87222" w:rsidRPr="00A81918">
        <w:rPr>
          <w:rFonts w:ascii="Times New Roman" w:hAnsi="Times New Roman" w:cs="Times New Roman"/>
          <w:sz w:val="24"/>
          <w:szCs w:val="24"/>
        </w:rPr>
        <w:t xml:space="preserve">He is presently running another Ph.D. in Public Health with the </w:t>
      </w:r>
      <w:r w:rsidR="00A87222" w:rsidRPr="00A81918">
        <w:rPr>
          <w:rFonts w:ascii="Times New Roman" w:hAnsi="Times New Roman" w:cs="Times New Roman"/>
          <w:sz w:val="24"/>
          <w:szCs w:val="24"/>
        </w:rPr>
        <w:t>Texila American University, Guyana</w:t>
      </w:r>
      <w:r w:rsidR="00A87222" w:rsidRPr="00A81918">
        <w:rPr>
          <w:rFonts w:ascii="Times New Roman" w:hAnsi="Times New Roman" w:cs="Times New Roman"/>
          <w:sz w:val="24"/>
          <w:szCs w:val="24"/>
        </w:rPr>
        <w:t xml:space="preserve">. </w:t>
      </w:r>
      <w:r w:rsidRPr="00A81918">
        <w:rPr>
          <w:rFonts w:ascii="Times New Roman" w:hAnsi="Times New Roman" w:cs="Times New Roman"/>
          <w:sz w:val="24"/>
          <w:szCs w:val="24"/>
        </w:rPr>
        <w:t>He is a Fellow of the African Institute of Public Health, and presently the Research Secretary of the Society of Lifestyle Medicine of Nigeria.</w:t>
      </w:r>
      <w:r w:rsidR="00B97E94" w:rsidRPr="00A81918">
        <w:rPr>
          <w:rFonts w:ascii="Times New Roman" w:hAnsi="Times New Roman" w:cs="Times New Roman"/>
          <w:sz w:val="24"/>
          <w:szCs w:val="24"/>
        </w:rPr>
        <w:t xml:space="preserve"> </w:t>
      </w:r>
      <w:r w:rsidRPr="00A81918">
        <w:rPr>
          <w:rFonts w:ascii="Times New Roman" w:hAnsi="Times New Roman" w:cs="Times New Roman"/>
          <w:sz w:val="24"/>
          <w:szCs w:val="24"/>
        </w:rPr>
        <w:t>H</w:t>
      </w:r>
      <w:r w:rsidR="00381AF3" w:rsidRPr="00A81918">
        <w:rPr>
          <w:rFonts w:ascii="Times New Roman" w:hAnsi="Times New Roman" w:cs="Times New Roman"/>
          <w:sz w:val="24"/>
          <w:szCs w:val="24"/>
        </w:rPr>
        <w:t xml:space="preserve">e has published several articles </w:t>
      </w:r>
      <w:r w:rsidRPr="00A81918">
        <w:rPr>
          <w:rFonts w:ascii="Times New Roman" w:hAnsi="Times New Roman" w:cs="Times New Roman"/>
          <w:sz w:val="24"/>
          <w:szCs w:val="24"/>
        </w:rPr>
        <w:t xml:space="preserve">in many international journals. He is presently an Occupational Health Physician and Workplace Health Promotion coordinator </w:t>
      </w:r>
      <w:r w:rsidR="00B97E94" w:rsidRPr="00A81918">
        <w:rPr>
          <w:rFonts w:ascii="Times New Roman" w:hAnsi="Times New Roman" w:cs="Times New Roman"/>
          <w:sz w:val="24"/>
          <w:szCs w:val="24"/>
        </w:rPr>
        <w:t xml:space="preserve">in the Presidential Villa, State House Abuja, Nigeria. </w:t>
      </w:r>
    </w:p>
    <w:p w14:paraId="4E966230" w14:textId="55A5E198" w:rsidR="00A87222" w:rsidRPr="00A81918" w:rsidRDefault="00A87222" w:rsidP="00381AF3">
      <w:pPr>
        <w:jc w:val="both"/>
        <w:rPr>
          <w:rFonts w:ascii="Times New Roman" w:hAnsi="Times New Roman" w:cs="Times New Roman"/>
          <w:b/>
          <w:bCs/>
          <w:sz w:val="24"/>
          <w:szCs w:val="24"/>
        </w:rPr>
      </w:pPr>
      <w:r w:rsidRPr="00A81918">
        <w:rPr>
          <w:rFonts w:ascii="Times New Roman" w:hAnsi="Times New Roman" w:cs="Times New Roman"/>
          <w:b/>
          <w:bCs/>
          <w:sz w:val="24"/>
          <w:szCs w:val="24"/>
        </w:rPr>
        <w:t>About Research Topic</w:t>
      </w:r>
    </w:p>
    <w:p w14:paraId="056AD674" w14:textId="5BBD43A4" w:rsidR="00FB0E1B" w:rsidRDefault="007E35B0" w:rsidP="00381AF3">
      <w:pPr>
        <w:jc w:val="both"/>
        <w:rPr>
          <w:rFonts w:ascii="Times New Roman" w:hAnsi="Times New Roman" w:cs="Times New Roman"/>
          <w:sz w:val="24"/>
          <w:szCs w:val="24"/>
        </w:rPr>
      </w:pPr>
      <w:r>
        <w:rPr>
          <w:rFonts w:ascii="Times New Roman" w:hAnsi="Times New Roman" w:cs="Times New Roman"/>
          <w:sz w:val="24"/>
          <w:szCs w:val="24"/>
        </w:rPr>
        <w:t xml:space="preserve">The world population is not only increasing in number but also life expectancy. From 2015 to 2050, the percentage of the </w:t>
      </w:r>
      <w:r w:rsidRPr="007E35B0">
        <w:rPr>
          <w:rFonts w:ascii="Times New Roman" w:hAnsi="Times New Roman" w:cs="Times New Roman"/>
          <w:sz w:val="24"/>
          <w:szCs w:val="24"/>
        </w:rPr>
        <w:t xml:space="preserve">world's </w:t>
      </w:r>
      <w:r w:rsidR="004A2277">
        <w:rPr>
          <w:rFonts w:ascii="Times New Roman" w:hAnsi="Times New Roman" w:cs="Times New Roman"/>
          <w:sz w:val="24"/>
          <w:szCs w:val="24"/>
        </w:rPr>
        <w:t>older population (</w:t>
      </w:r>
      <w:r w:rsidRPr="007E35B0">
        <w:rPr>
          <w:rFonts w:ascii="Times New Roman" w:hAnsi="Times New Roman" w:cs="Times New Roman"/>
          <w:sz w:val="24"/>
          <w:szCs w:val="24"/>
        </w:rPr>
        <w:t xml:space="preserve">60 years </w:t>
      </w:r>
      <w:r>
        <w:rPr>
          <w:rFonts w:ascii="Times New Roman" w:hAnsi="Times New Roman" w:cs="Times New Roman"/>
          <w:sz w:val="24"/>
          <w:szCs w:val="24"/>
        </w:rPr>
        <w:t>and above</w:t>
      </w:r>
      <w:r w:rsidR="004A2277">
        <w:rPr>
          <w:rFonts w:ascii="Times New Roman" w:hAnsi="Times New Roman" w:cs="Times New Roman"/>
          <w:sz w:val="24"/>
          <w:szCs w:val="24"/>
        </w:rPr>
        <w:t>)</w:t>
      </w:r>
      <w:r>
        <w:rPr>
          <w:rFonts w:ascii="Times New Roman" w:hAnsi="Times New Roman" w:cs="Times New Roman"/>
          <w:sz w:val="24"/>
          <w:szCs w:val="24"/>
        </w:rPr>
        <w:t xml:space="preserve"> </w:t>
      </w:r>
      <w:r w:rsidRPr="007E35B0">
        <w:rPr>
          <w:rFonts w:ascii="Times New Roman" w:hAnsi="Times New Roman" w:cs="Times New Roman"/>
          <w:sz w:val="24"/>
          <w:szCs w:val="24"/>
        </w:rPr>
        <w:t xml:space="preserve">will be expected to increase from 12% </w:t>
      </w:r>
      <w:r>
        <w:rPr>
          <w:rFonts w:ascii="Times New Roman" w:hAnsi="Times New Roman" w:cs="Times New Roman"/>
          <w:sz w:val="24"/>
          <w:szCs w:val="24"/>
        </w:rPr>
        <w:t>(</w:t>
      </w:r>
      <w:r w:rsidRPr="007E35B0">
        <w:rPr>
          <w:rFonts w:ascii="Times New Roman" w:hAnsi="Times New Roman" w:cs="Times New Roman"/>
          <w:sz w:val="24"/>
          <w:szCs w:val="24"/>
        </w:rPr>
        <w:t>900 million</w:t>
      </w:r>
      <w:r>
        <w:rPr>
          <w:rFonts w:ascii="Times New Roman" w:hAnsi="Times New Roman" w:cs="Times New Roman"/>
          <w:sz w:val="24"/>
          <w:szCs w:val="24"/>
        </w:rPr>
        <w:t>) to 22% (</w:t>
      </w:r>
      <w:r w:rsidRPr="007E35B0">
        <w:rPr>
          <w:rFonts w:ascii="Times New Roman" w:hAnsi="Times New Roman" w:cs="Times New Roman"/>
          <w:sz w:val="24"/>
          <w:szCs w:val="24"/>
        </w:rPr>
        <w:t>2.1 billion</w:t>
      </w:r>
      <w:r>
        <w:rPr>
          <w:rFonts w:ascii="Times New Roman" w:hAnsi="Times New Roman" w:cs="Times New Roman"/>
          <w:sz w:val="24"/>
          <w:szCs w:val="24"/>
        </w:rPr>
        <w:t xml:space="preserve">). </w:t>
      </w:r>
      <w:r w:rsidR="004A2277">
        <w:rPr>
          <w:rFonts w:ascii="Times New Roman" w:hAnsi="Times New Roman" w:cs="Times New Roman"/>
          <w:sz w:val="24"/>
          <w:szCs w:val="24"/>
        </w:rPr>
        <w:t xml:space="preserve">Sub-Saharan Africa (SSA) is expected to account for one of the highest absolute numbers of </w:t>
      </w:r>
      <w:r w:rsidR="00E37987">
        <w:rPr>
          <w:rFonts w:ascii="Times New Roman" w:hAnsi="Times New Roman" w:cs="Times New Roman"/>
          <w:sz w:val="24"/>
          <w:szCs w:val="24"/>
        </w:rPr>
        <w:t xml:space="preserve">the </w:t>
      </w:r>
      <w:r w:rsidR="004A2277">
        <w:rPr>
          <w:rFonts w:ascii="Times New Roman" w:hAnsi="Times New Roman" w:cs="Times New Roman"/>
          <w:sz w:val="24"/>
          <w:szCs w:val="24"/>
        </w:rPr>
        <w:t xml:space="preserve">older population by 2050. Since older age is often associated with </w:t>
      </w:r>
      <w:r w:rsidR="000473EE">
        <w:rPr>
          <w:rFonts w:ascii="Times New Roman" w:hAnsi="Times New Roman" w:cs="Times New Roman"/>
          <w:sz w:val="24"/>
          <w:szCs w:val="24"/>
        </w:rPr>
        <w:t xml:space="preserve">an </w:t>
      </w:r>
      <w:r w:rsidR="00112C32">
        <w:rPr>
          <w:rFonts w:ascii="Times New Roman" w:hAnsi="Times New Roman" w:cs="Times New Roman"/>
          <w:sz w:val="24"/>
          <w:szCs w:val="24"/>
        </w:rPr>
        <w:t>increased</w:t>
      </w:r>
      <w:r w:rsidR="004A2277">
        <w:rPr>
          <w:rFonts w:ascii="Times New Roman" w:hAnsi="Times New Roman" w:cs="Times New Roman"/>
          <w:sz w:val="24"/>
          <w:szCs w:val="24"/>
        </w:rPr>
        <w:t xml:space="preserve"> risk of developing many chronic diseases, the world, and SSA in particular, may have a high burden of </w:t>
      </w:r>
      <w:r w:rsidR="007B459A">
        <w:rPr>
          <w:rFonts w:ascii="Times New Roman" w:hAnsi="Times New Roman" w:cs="Times New Roman"/>
          <w:sz w:val="24"/>
          <w:szCs w:val="24"/>
        </w:rPr>
        <w:t>‘sick’</w:t>
      </w:r>
      <w:r w:rsidR="004A2277">
        <w:rPr>
          <w:rFonts w:ascii="Times New Roman" w:hAnsi="Times New Roman" w:cs="Times New Roman"/>
          <w:sz w:val="24"/>
          <w:szCs w:val="24"/>
        </w:rPr>
        <w:t xml:space="preserve"> older population in the nearest future. This may have significant negative impact</w:t>
      </w:r>
      <w:r w:rsidR="00112C32">
        <w:rPr>
          <w:rFonts w:ascii="Times New Roman" w:hAnsi="Times New Roman" w:cs="Times New Roman"/>
          <w:sz w:val="24"/>
          <w:szCs w:val="24"/>
        </w:rPr>
        <w:t>s</w:t>
      </w:r>
      <w:r w:rsidR="004A2277">
        <w:rPr>
          <w:rFonts w:ascii="Times New Roman" w:hAnsi="Times New Roman" w:cs="Times New Roman"/>
          <w:sz w:val="24"/>
          <w:szCs w:val="24"/>
        </w:rPr>
        <w:t xml:space="preserve"> on the interconnected global health and economic systems</w:t>
      </w:r>
      <w:r w:rsidR="00FB0E1B">
        <w:rPr>
          <w:rFonts w:ascii="Times New Roman" w:hAnsi="Times New Roman" w:cs="Times New Roman"/>
          <w:sz w:val="24"/>
          <w:szCs w:val="24"/>
        </w:rPr>
        <w:t xml:space="preserve">. </w:t>
      </w:r>
      <w:r w:rsidR="0050331A">
        <w:rPr>
          <w:rFonts w:ascii="Times New Roman" w:hAnsi="Times New Roman" w:cs="Times New Roman"/>
          <w:sz w:val="24"/>
          <w:szCs w:val="24"/>
        </w:rPr>
        <w:t>Studies have demonstrated that the ageing process can be influenced by four basic determinants: genetics, environment, socio-demograph</w:t>
      </w:r>
      <w:r w:rsidR="004F2343">
        <w:rPr>
          <w:rFonts w:ascii="Times New Roman" w:hAnsi="Times New Roman" w:cs="Times New Roman"/>
          <w:sz w:val="24"/>
          <w:szCs w:val="24"/>
        </w:rPr>
        <w:t>ic factors</w:t>
      </w:r>
      <w:r w:rsidR="0050331A">
        <w:rPr>
          <w:rFonts w:ascii="Times New Roman" w:hAnsi="Times New Roman" w:cs="Times New Roman"/>
          <w:sz w:val="24"/>
          <w:szCs w:val="24"/>
        </w:rPr>
        <w:t xml:space="preserve">, and lifestyle practices. Out of these, lifestyle practices are the most important. </w:t>
      </w:r>
      <w:r w:rsidR="00FB0E1B">
        <w:rPr>
          <w:rFonts w:ascii="Times New Roman" w:hAnsi="Times New Roman" w:cs="Times New Roman"/>
          <w:sz w:val="24"/>
          <w:szCs w:val="24"/>
        </w:rPr>
        <w:t xml:space="preserve">Consequently, optimizing lifestyle practices through a structured health promotion intervention program may slow down the biological ageing process and increase the possibility of healthy life lifestyle expectance </w:t>
      </w:r>
      <w:r w:rsidR="004F2343">
        <w:rPr>
          <w:rFonts w:ascii="Times New Roman" w:hAnsi="Times New Roman" w:cs="Times New Roman"/>
          <w:sz w:val="24"/>
          <w:szCs w:val="24"/>
        </w:rPr>
        <w:t>am</w:t>
      </w:r>
      <w:r w:rsidR="00E37987">
        <w:rPr>
          <w:rFonts w:ascii="Times New Roman" w:hAnsi="Times New Roman" w:cs="Times New Roman"/>
          <w:sz w:val="24"/>
          <w:szCs w:val="24"/>
        </w:rPr>
        <w:t>o</w:t>
      </w:r>
      <w:r w:rsidR="004F2343">
        <w:rPr>
          <w:rFonts w:ascii="Times New Roman" w:hAnsi="Times New Roman" w:cs="Times New Roman"/>
          <w:sz w:val="24"/>
          <w:szCs w:val="24"/>
        </w:rPr>
        <w:t>n</w:t>
      </w:r>
      <w:r w:rsidR="00E37987">
        <w:rPr>
          <w:rFonts w:ascii="Times New Roman" w:hAnsi="Times New Roman" w:cs="Times New Roman"/>
          <w:sz w:val="24"/>
          <w:szCs w:val="24"/>
        </w:rPr>
        <w:t>g</w:t>
      </w:r>
      <w:r w:rsidR="00FB0E1B">
        <w:rPr>
          <w:rFonts w:ascii="Times New Roman" w:hAnsi="Times New Roman" w:cs="Times New Roman"/>
          <w:sz w:val="24"/>
          <w:szCs w:val="24"/>
        </w:rPr>
        <w:t xml:space="preserve"> the target population. </w:t>
      </w:r>
    </w:p>
    <w:p w14:paraId="45289AD5" w14:textId="77777777" w:rsidR="006C0F90" w:rsidRDefault="006C0F90" w:rsidP="00381AF3">
      <w:pPr>
        <w:jc w:val="both"/>
        <w:rPr>
          <w:rFonts w:ascii="Times New Roman" w:hAnsi="Times New Roman" w:cs="Times New Roman"/>
          <w:sz w:val="24"/>
          <w:szCs w:val="24"/>
        </w:rPr>
      </w:pPr>
    </w:p>
    <w:p w14:paraId="4C7FED23" w14:textId="77777777" w:rsidR="006C0F90" w:rsidRDefault="006C0F90" w:rsidP="00381AF3">
      <w:pPr>
        <w:jc w:val="both"/>
        <w:rPr>
          <w:rFonts w:ascii="Times New Roman" w:hAnsi="Times New Roman" w:cs="Times New Roman"/>
          <w:sz w:val="24"/>
          <w:szCs w:val="24"/>
        </w:rPr>
      </w:pPr>
    </w:p>
    <w:p w14:paraId="0C5AE99A" w14:textId="41C8B977" w:rsidR="00FC2328" w:rsidRPr="006C0F90" w:rsidRDefault="004C280B" w:rsidP="00381AF3">
      <w:pPr>
        <w:jc w:val="both"/>
        <w:rPr>
          <w:rFonts w:ascii="Times New Roman" w:hAnsi="Times New Roman" w:cs="Times New Roman"/>
          <w:b/>
          <w:bCs/>
          <w:sz w:val="24"/>
          <w:szCs w:val="24"/>
        </w:rPr>
      </w:pPr>
      <w:r w:rsidRPr="006C0F90">
        <w:rPr>
          <w:rFonts w:ascii="Times New Roman" w:hAnsi="Times New Roman" w:cs="Times New Roman"/>
          <w:b/>
          <w:bCs/>
          <w:sz w:val="24"/>
          <w:szCs w:val="24"/>
        </w:rPr>
        <w:lastRenderedPageBreak/>
        <w:t>About Institution:</w:t>
      </w:r>
    </w:p>
    <w:p w14:paraId="7E0E2A94" w14:textId="0185B0E5" w:rsidR="006C0F90" w:rsidRDefault="006C0F90" w:rsidP="00381AF3">
      <w:pPr>
        <w:jc w:val="both"/>
        <w:rPr>
          <w:rFonts w:ascii="Times New Roman" w:hAnsi="Times New Roman" w:cs="Times New Roman"/>
          <w:sz w:val="24"/>
          <w:szCs w:val="24"/>
        </w:rPr>
      </w:pPr>
      <w:r w:rsidRPr="006C0F90">
        <w:rPr>
          <w:rFonts w:ascii="Times New Roman" w:hAnsi="Times New Roman" w:cs="Times New Roman"/>
          <w:sz w:val="24"/>
          <w:szCs w:val="24"/>
        </w:rPr>
        <w:t>Texila American University</w:t>
      </w:r>
      <w:r w:rsidR="000513BA">
        <w:rPr>
          <w:rFonts w:ascii="Times New Roman" w:hAnsi="Times New Roman" w:cs="Times New Roman"/>
          <w:sz w:val="24"/>
          <w:szCs w:val="24"/>
        </w:rPr>
        <w:t xml:space="preserve"> </w:t>
      </w:r>
      <w:r w:rsidRPr="006C0F90">
        <w:rPr>
          <w:rFonts w:ascii="Times New Roman" w:hAnsi="Times New Roman" w:cs="Times New Roman"/>
          <w:sz w:val="24"/>
          <w:szCs w:val="24"/>
        </w:rPr>
        <w:t xml:space="preserve">is a Tier-1 private university </w:t>
      </w:r>
      <w:r>
        <w:rPr>
          <w:rFonts w:ascii="Times New Roman" w:hAnsi="Times New Roman" w:cs="Times New Roman"/>
          <w:sz w:val="24"/>
          <w:szCs w:val="24"/>
        </w:rPr>
        <w:t xml:space="preserve">in </w:t>
      </w:r>
      <w:r w:rsidRPr="006C0F90">
        <w:rPr>
          <w:rFonts w:ascii="Times New Roman" w:hAnsi="Times New Roman" w:cs="Times New Roman"/>
          <w:sz w:val="24"/>
          <w:szCs w:val="24"/>
        </w:rPr>
        <w:t>Guyana</w:t>
      </w:r>
      <w:r>
        <w:rPr>
          <w:rFonts w:ascii="Times New Roman" w:hAnsi="Times New Roman" w:cs="Times New Roman"/>
          <w:sz w:val="24"/>
          <w:szCs w:val="24"/>
        </w:rPr>
        <w:t xml:space="preserve">. </w:t>
      </w:r>
      <w:r w:rsidR="006D144F">
        <w:rPr>
          <w:rFonts w:ascii="Times New Roman" w:hAnsi="Times New Roman" w:cs="Times New Roman"/>
          <w:sz w:val="24"/>
          <w:szCs w:val="24"/>
        </w:rPr>
        <w:t xml:space="preserve">The school offers different health-related undergraduate and postgraduate programs. </w:t>
      </w:r>
      <w:r>
        <w:rPr>
          <w:rFonts w:ascii="Times New Roman" w:hAnsi="Times New Roman" w:cs="Times New Roman"/>
          <w:sz w:val="24"/>
          <w:szCs w:val="24"/>
        </w:rPr>
        <w:t xml:space="preserve">Its Ph.D. in Public Health </w:t>
      </w:r>
      <w:r w:rsidR="008E5902">
        <w:rPr>
          <w:rFonts w:ascii="Times New Roman" w:hAnsi="Times New Roman" w:cs="Times New Roman"/>
          <w:sz w:val="24"/>
          <w:szCs w:val="24"/>
        </w:rPr>
        <w:t xml:space="preserve">(which is offered in collaboration with the Central University of Nicaragua) </w:t>
      </w:r>
      <w:r>
        <w:rPr>
          <w:rFonts w:ascii="Times New Roman" w:hAnsi="Times New Roman" w:cs="Times New Roman"/>
          <w:sz w:val="24"/>
          <w:szCs w:val="24"/>
        </w:rPr>
        <w:t>is a research-focused program that prepares the students to be innovative, system</w:t>
      </w:r>
      <w:r w:rsidR="008952EB">
        <w:rPr>
          <w:rFonts w:ascii="Times New Roman" w:hAnsi="Times New Roman" w:cs="Times New Roman"/>
          <w:sz w:val="24"/>
          <w:szCs w:val="24"/>
        </w:rPr>
        <w:t>at</w:t>
      </w:r>
      <w:r>
        <w:rPr>
          <w:rFonts w:ascii="Times New Roman" w:hAnsi="Times New Roman" w:cs="Times New Roman"/>
          <w:sz w:val="24"/>
          <w:szCs w:val="24"/>
        </w:rPr>
        <w:t xml:space="preserve">ic, and evidence-based in confronting modern global public health challenges. </w:t>
      </w:r>
    </w:p>
    <w:p w14:paraId="2EADFC66" w14:textId="17C237CE" w:rsidR="0022204D" w:rsidRPr="00AE010C" w:rsidRDefault="0022204D" w:rsidP="00381AF3">
      <w:pPr>
        <w:jc w:val="both"/>
        <w:rPr>
          <w:rFonts w:ascii="Times New Roman" w:hAnsi="Times New Roman" w:cs="Times New Roman"/>
          <w:b/>
          <w:bCs/>
          <w:sz w:val="24"/>
          <w:szCs w:val="24"/>
        </w:rPr>
      </w:pPr>
      <w:r w:rsidRPr="00AE010C">
        <w:rPr>
          <w:rFonts w:ascii="Times New Roman" w:hAnsi="Times New Roman" w:cs="Times New Roman"/>
          <w:b/>
          <w:bCs/>
          <w:sz w:val="24"/>
          <w:szCs w:val="24"/>
        </w:rPr>
        <w:t>References</w:t>
      </w:r>
    </w:p>
    <w:p w14:paraId="5F9E3369" w14:textId="468041BB" w:rsidR="008952EB" w:rsidRPr="008952EB" w:rsidRDefault="008952EB" w:rsidP="008952EB">
      <w:pPr>
        <w:jc w:val="both"/>
        <w:rPr>
          <w:rFonts w:ascii="Times New Roman" w:hAnsi="Times New Roman" w:cs="Times New Roman"/>
          <w:sz w:val="24"/>
          <w:szCs w:val="24"/>
        </w:rPr>
      </w:pPr>
      <w:bookmarkStart w:id="1" w:name="_Hlk106138996"/>
      <w:r>
        <w:rPr>
          <w:rFonts w:ascii="Times New Roman" w:hAnsi="Times New Roman" w:cs="Times New Roman"/>
          <w:sz w:val="24"/>
          <w:szCs w:val="24"/>
        </w:rPr>
        <w:t xml:space="preserve">1. </w:t>
      </w:r>
      <w:r w:rsidRPr="008952EB">
        <w:rPr>
          <w:rFonts w:ascii="Times New Roman" w:hAnsi="Times New Roman" w:cs="Times New Roman"/>
          <w:sz w:val="24"/>
          <w:szCs w:val="24"/>
        </w:rPr>
        <w:t xml:space="preserve">Garrido A, Cruces J, Ceprián N, Vara E, </w:t>
      </w:r>
      <w:r>
        <w:rPr>
          <w:rFonts w:ascii="Times New Roman" w:hAnsi="Times New Roman" w:cs="Times New Roman"/>
          <w:sz w:val="24"/>
          <w:szCs w:val="24"/>
        </w:rPr>
        <w:t>and</w:t>
      </w:r>
      <w:r w:rsidRPr="008952EB">
        <w:rPr>
          <w:rFonts w:ascii="Times New Roman" w:hAnsi="Times New Roman" w:cs="Times New Roman"/>
          <w:sz w:val="24"/>
          <w:szCs w:val="24"/>
        </w:rPr>
        <w:t xml:space="preserve"> de la Fuente M. Oxidative-Inflammatory Stress in Immune Cells from Adult Mice with Premature Aging. </w:t>
      </w:r>
      <w:r w:rsidRPr="008952EB">
        <w:rPr>
          <w:rFonts w:ascii="Times New Roman" w:hAnsi="Times New Roman" w:cs="Times New Roman"/>
          <w:i/>
          <w:iCs/>
          <w:sz w:val="24"/>
          <w:szCs w:val="24"/>
        </w:rPr>
        <w:t>Int. J. Mol. Sci.</w:t>
      </w:r>
      <w:r>
        <w:rPr>
          <w:rFonts w:ascii="Times New Roman" w:hAnsi="Times New Roman" w:cs="Times New Roman"/>
          <w:i/>
          <w:iCs/>
          <w:sz w:val="24"/>
          <w:szCs w:val="24"/>
        </w:rPr>
        <w:t xml:space="preserve"> </w:t>
      </w:r>
      <w:r w:rsidRPr="00D43B1B">
        <w:rPr>
          <w:rFonts w:ascii="Times New Roman" w:hAnsi="Times New Roman" w:cs="Times New Roman"/>
          <w:sz w:val="24"/>
          <w:szCs w:val="24"/>
        </w:rPr>
        <w:t>2019</w:t>
      </w:r>
      <w:r>
        <w:rPr>
          <w:rFonts w:ascii="Times New Roman" w:hAnsi="Times New Roman" w:cs="Times New Roman"/>
          <w:sz w:val="24"/>
          <w:szCs w:val="24"/>
        </w:rPr>
        <w:t xml:space="preserve">; </w:t>
      </w:r>
      <w:r w:rsidRPr="008952EB">
        <w:rPr>
          <w:rFonts w:ascii="Times New Roman" w:hAnsi="Times New Roman" w:cs="Times New Roman"/>
          <w:sz w:val="24"/>
          <w:szCs w:val="24"/>
        </w:rPr>
        <w:t>20</w:t>
      </w:r>
      <w:r>
        <w:rPr>
          <w:rFonts w:ascii="Times New Roman" w:hAnsi="Times New Roman" w:cs="Times New Roman"/>
          <w:sz w:val="24"/>
          <w:szCs w:val="24"/>
        </w:rPr>
        <w:t>:</w:t>
      </w:r>
      <w:r w:rsidRPr="008952EB">
        <w:rPr>
          <w:rFonts w:ascii="Times New Roman" w:hAnsi="Times New Roman" w:cs="Times New Roman"/>
          <w:sz w:val="24"/>
          <w:szCs w:val="24"/>
        </w:rPr>
        <w:t xml:space="preserve"> 769. </w:t>
      </w:r>
      <w:hyperlink r:id="rId5" w:history="1">
        <w:r w:rsidRPr="008952EB">
          <w:rPr>
            <w:rStyle w:val="Hyperlink"/>
            <w:rFonts w:ascii="Times New Roman" w:hAnsi="Times New Roman" w:cs="Times New Roman"/>
            <w:sz w:val="24"/>
            <w:szCs w:val="24"/>
          </w:rPr>
          <w:t>https://doi:10.3390/ijms20030769</w:t>
        </w:r>
      </w:hyperlink>
      <w:r w:rsidRPr="008952EB">
        <w:rPr>
          <w:rFonts w:ascii="Times New Roman" w:hAnsi="Times New Roman" w:cs="Times New Roman"/>
          <w:sz w:val="24"/>
          <w:szCs w:val="24"/>
        </w:rPr>
        <w:t>.</w:t>
      </w:r>
    </w:p>
    <w:bookmarkEnd w:id="1"/>
    <w:p w14:paraId="7BFCAE45" w14:textId="77777777" w:rsidR="004B563D" w:rsidRDefault="008952EB" w:rsidP="004B563D">
      <w:pPr>
        <w:jc w:val="both"/>
        <w:rPr>
          <w:rFonts w:ascii="Times New Roman" w:hAnsi="Times New Roman" w:cs="Times New Roman"/>
          <w:sz w:val="24"/>
          <w:szCs w:val="24"/>
        </w:rPr>
      </w:pPr>
      <w:r>
        <w:rPr>
          <w:rFonts w:ascii="Times New Roman" w:hAnsi="Times New Roman" w:cs="Times New Roman"/>
          <w:sz w:val="24"/>
          <w:szCs w:val="24"/>
        </w:rPr>
        <w:t xml:space="preserve">2. </w:t>
      </w:r>
      <w:r w:rsidRPr="008952EB">
        <w:rPr>
          <w:rFonts w:ascii="Times New Roman" w:hAnsi="Times New Roman" w:cs="Times New Roman"/>
          <w:sz w:val="24"/>
          <w:szCs w:val="24"/>
        </w:rPr>
        <w:t xml:space="preserve">Södergren M. Lifestyle predictors of healthy ageing in men. </w:t>
      </w:r>
      <w:r w:rsidRPr="008952EB">
        <w:rPr>
          <w:rFonts w:ascii="Times New Roman" w:hAnsi="Times New Roman" w:cs="Times New Roman"/>
          <w:i/>
          <w:iCs/>
          <w:sz w:val="24"/>
          <w:szCs w:val="24"/>
        </w:rPr>
        <w:t>Maturitas.</w:t>
      </w:r>
      <w:r>
        <w:rPr>
          <w:rFonts w:ascii="Times New Roman" w:hAnsi="Times New Roman" w:cs="Times New Roman"/>
          <w:i/>
          <w:iCs/>
          <w:sz w:val="24"/>
          <w:szCs w:val="24"/>
        </w:rPr>
        <w:t xml:space="preserve"> </w:t>
      </w:r>
      <w:r w:rsidRPr="00D43B1B">
        <w:rPr>
          <w:rFonts w:ascii="Times New Roman" w:hAnsi="Times New Roman" w:cs="Times New Roman"/>
          <w:sz w:val="24"/>
          <w:szCs w:val="24"/>
        </w:rPr>
        <w:t>2013</w:t>
      </w:r>
      <w:r>
        <w:rPr>
          <w:rFonts w:ascii="Times New Roman" w:hAnsi="Times New Roman" w:cs="Times New Roman"/>
          <w:sz w:val="24"/>
          <w:szCs w:val="24"/>
        </w:rPr>
        <w:t>;</w:t>
      </w:r>
      <w:r w:rsidRPr="008952EB">
        <w:rPr>
          <w:rFonts w:ascii="Times New Roman" w:hAnsi="Times New Roman" w:cs="Times New Roman"/>
          <w:sz w:val="24"/>
          <w:szCs w:val="24"/>
        </w:rPr>
        <w:t xml:space="preserve"> 75(2)</w:t>
      </w:r>
      <w:r>
        <w:rPr>
          <w:rFonts w:ascii="Times New Roman" w:hAnsi="Times New Roman" w:cs="Times New Roman"/>
          <w:sz w:val="24"/>
          <w:szCs w:val="24"/>
        </w:rPr>
        <w:t>:</w:t>
      </w:r>
      <w:r w:rsidRPr="008952EB">
        <w:rPr>
          <w:rFonts w:ascii="Times New Roman" w:hAnsi="Times New Roman" w:cs="Times New Roman"/>
          <w:sz w:val="24"/>
          <w:szCs w:val="24"/>
        </w:rPr>
        <w:t xml:space="preserve"> 113-7. </w:t>
      </w:r>
      <w:hyperlink r:id="rId6" w:history="1">
        <w:r w:rsidRPr="008952EB">
          <w:rPr>
            <w:rStyle w:val="Hyperlink"/>
            <w:rFonts w:ascii="Times New Roman" w:hAnsi="Times New Roman" w:cs="Times New Roman"/>
            <w:sz w:val="24"/>
            <w:szCs w:val="24"/>
          </w:rPr>
          <w:t>https://DOI:10.1016/j.maturitas.2013.02.011</w:t>
        </w:r>
      </w:hyperlink>
      <w:r w:rsidRPr="008952EB">
        <w:rPr>
          <w:rFonts w:ascii="Times New Roman" w:hAnsi="Times New Roman" w:cs="Times New Roman"/>
          <w:sz w:val="24"/>
          <w:szCs w:val="24"/>
        </w:rPr>
        <w:t>.</w:t>
      </w:r>
    </w:p>
    <w:p w14:paraId="3E7A91D1" w14:textId="4E390188" w:rsidR="008952EB" w:rsidRPr="00C5048B" w:rsidRDefault="008952EB" w:rsidP="004B563D">
      <w:pPr>
        <w:jc w:val="both"/>
        <w:rPr>
          <w:rFonts w:ascii="Times New Roman" w:hAnsi="Times New Roman" w:cs="Times New Roman"/>
          <w:sz w:val="24"/>
          <w:szCs w:val="24"/>
        </w:rPr>
      </w:pPr>
      <w:r>
        <w:rPr>
          <w:rFonts w:ascii="Times New Roman" w:hAnsi="Times New Roman" w:cs="Times New Roman"/>
          <w:sz w:val="24"/>
          <w:szCs w:val="24"/>
        </w:rPr>
        <w:t xml:space="preserve">3. </w:t>
      </w:r>
      <w:bookmarkStart w:id="2" w:name="_Hlk110669515"/>
      <w:r w:rsidRPr="00C5048B">
        <w:rPr>
          <w:rFonts w:ascii="Times New Roman" w:hAnsi="Times New Roman" w:cs="Times New Roman"/>
          <w:sz w:val="24"/>
          <w:szCs w:val="24"/>
        </w:rPr>
        <w:t xml:space="preserve">World Health Organization. </w:t>
      </w:r>
      <w:r w:rsidRPr="00C5048B">
        <w:rPr>
          <w:rFonts w:ascii="Times New Roman" w:hAnsi="Times New Roman" w:cs="Times New Roman"/>
          <w:i/>
          <w:iCs/>
          <w:sz w:val="24"/>
          <w:szCs w:val="24"/>
        </w:rPr>
        <w:t>World report on ageing and health</w:t>
      </w:r>
      <w:r w:rsidRPr="00C5048B">
        <w:rPr>
          <w:rFonts w:ascii="Times New Roman" w:hAnsi="Times New Roman" w:cs="Times New Roman"/>
          <w:sz w:val="24"/>
          <w:szCs w:val="24"/>
        </w:rPr>
        <w:t xml:space="preserve">. </w:t>
      </w:r>
      <w:r>
        <w:rPr>
          <w:rFonts w:ascii="Times New Roman" w:hAnsi="Times New Roman" w:cs="Times New Roman"/>
          <w:sz w:val="24"/>
          <w:szCs w:val="24"/>
        </w:rPr>
        <w:t>WHO, 2015.</w:t>
      </w:r>
      <w:r w:rsidRPr="00C5048B">
        <w:rPr>
          <w:rFonts w:ascii="Times New Roman" w:hAnsi="Times New Roman" w:cs="Times New Roman"/>
          <w:sz w:val="24"/>
          <w:szCs w:val="24"/>
        </w:rPr>
        <w:t xml:space="preserve"> </w:t>
      </w:r>
      <w:hyperlink r:id="rId7" w:history="1">
        <w:r w:rsidRPr="00C5048B">
          <w:rPr>
            <w:rFonts w:ascii="Times New Roman" w:hAnsi="Times New Roman" w:cs="Times New Roman"/>
            <w:color w:val="0563C1" w:themeColor="hyperlink"/>
            <w:sz w:val="24"/>
            <w:szCs w:val="24"/>
            <w:u w:val="single"/>
          </w:rPr>
          <w:t>http://apps.who.int/iris/bitstream/handle/10665/186463/9789240694811_eng.pdf;jsessionid=FD0D4724D6073BBFC1CA52618828A755?sequence=1</w:t>
        </w:r>
      </w:hyperlink>
    </w:p>
    <w:bookmarkEnd w:id="2"/>
    <w:p w14:paraId="10E38C7E" w14:textId="0EE220E4" w:rsidR="0022204D" w:rsidRDefault="008952EB" w:rsidP="00381AF3">
      <w:pPr>
        <w:jc w:val="both"/>
        <w:rPr>
          <w:rFonts w:ascii="Times New Roman" w:hAnsi="Times New Roman" w:cs="Times New Roman"/>
          <w:sz w:val="24"/>
          <w:szCs w:val="24"/>
        </w:rPr>
      </w:pPr>
      <w:r>
        <w:rPr>
          <w:rFonts w:ascii="Times New Roman" w:hAnsi="Times New Roman" w:cs="Times New Roman"/>
          <w:sz w:val="24"/>
          <w:szCs w:val="24"/>
        </w:rPr>
        <w:t xml:space="preserve">4. </w:t>
      </w:r>
      <w:r w:rsidR="007817A7" w:rsidRPr="00C5048B">
        <w:rPr>
          <w:rFonts w:ascii="Times New Roman" w:hAnsi="Times New Roman" w:cs="Times New Roman"/>
          <w:sz w:val="24"/>
          <w:szCs w:val="24"/>
        </w:rPr>
        <w:t xml:space="preserve">Waters D. </w:t>
      </w:r>
      <w:r w:rsidR="007817A7" w:rsidRPr="00C5048B">
        <w:rPr>
          <w:rFonts w:ascii="Times New Roman" w:hAnsi="Times New Roman" w:cs="Times New Roman"/>
          <w:i/>
          <w:iCs/>
          <w:sz w:val="24"/>
          <w:szCs w:val="24"/>
        </w:rPr>
        <w:t>This biological age calculator shows how old your body is</w:t>
      </w:r>
      <w:r w:rsidR="007817A7" w:rsidRPr="00C5048B">
        <w:rPr>
          <w:rFonts w:ascii="Times New Roman" w:hAnsi="Times New Roman" w:cs="Times New Roman"/>
          <w:sz w:val="24"/>
          <w:szCs w:val="24"/>
        </w:rPr>
        <w:t xml:space="preserve">. </w:t>
      </w:r>
      <w:r w:rsidR="00FE375D" w:rsidRPr="00FE375D">
        <w:rPr>
          <w:rFonts w:ascii="Times New Roman" w:hAnsi="Times New Roman" w:cs="Times New Roman"/>
          <w:sz w:val="24"/>
          <w:szCs w:val="24"/>
        </w:rPr>
        <w:t>Woman &amp; Home</w:t>
      </w:r>
      <w:r w:rsidR="00FE375D">
        <w:rPr>
          <w:rFonts w:ascii="Times New Roman" w:hAnsi="Times New Roman" w:cs="Times New Roman"/>
          <w:sz w:val="24"/>
          <w:szCs w:val="24"/>
        </w:rPr>
        <w:t xml:space="preserve">, 2022. </w:t>
      </w:r>
      <w:hyperlink r:id="rId8" w:history="1">
        <w:r w:rsidR="00FE375D" w:rsidRPr="00CB2E8C">
          <w:rPr>
            <w:rStyle w:val="Hyperlink"/>
            <w:rFonts w:ascii="Times New Roman" w:hAnsi="Times New Roman" w:cs="Times New Roman"/>
            <w:sz w:val="24"/>
            <w:szCs w:val="24"/>
          </w:rPr>
          <w:t>https://www.womanandhome.com/health-and-wellbeing/biological-age-calculator-20430/</w:t>
        </w:r>
      </w:hyperlink>
    </w:p>
    <w:p w14:paraId="0C1A731D" w14:textId="3D61103C" w:rsidR="00D43B1B" w:rsidRDefault="00D43B1B" w:rsidP="00D43B1B">
      <w:pPr>
        <w:jc w:val="both"/>
        <w:rPr>
          <w:rFonts w:ascii="Times New Roman" w:hAnsi="Times New Roman" w:cs="Times New Roman"/>
          <w:sz w:val="24"/>
          <w:szCs w:val="24"/>
        </w:rPr>
      </w:pPr>
      <w:r>
        <w:rPr>
          <w:rFonts w:ascii="Times New Roman" w:hAnsi="Times New Roman" w:cs="Times New Roman"/>
          <w:sz w:val="24"/>
          <w:szCs w:val="24"/>
        </w:rPr>
        <w:t xml:space="preserve">5. </w:t>
      </w:r>
      <w:r w:rsidRPr="00D43B1B">
        <w:rPr>
          <w:rFonts w:ascii="Times New Roman" w:hAnsi="Times New Roman" w:cs="Times New Roman"/>
          <w:sz w:val="24"/>
          <w:szCs w:val="24"/>
        </w:rPr>
        <w:t xml:space="preserve">Franklin B.A, &amp; Cushman M. Recent Advances in Preventive Cardiology and Lifestyle Medicine. </w:t>
      </w:r>
      <w:r w:rsidRPr="00D43B1B">
        <w:rPr>
          <w:rFonts w:ascii="Times New Roman" w:hAnsi="Times New Roman" w:cs="Times New Roman"/>
          <w:i/>
          <w:iCs/>
          <w:sz w:val="24"/>
          <w:szCs w:val="24"/>
        </w:rPr>
        <w:t>Circulation</w:t>
      </w:r>
      <w:r>
        <w:rPr>
          <w:rFonts w:ascii="Times New Roman" w:hAnsi="Times New Roman" w:cs="Times New Roman"/>
          <w:i/>
          <w:iCs/>
          <w:sz w:val="24"/>
          <w:szCs w:val="24"/>
        </w:rPr>
        <w:t xml:space="preserve"> </w:t>
      </w:r>
      <w:r w:rsidRPr="00D43B1B">
        <w:rPr>
          <w:rFonts w:ascii="Times New Roman" w:hAnsi="Times New Roman" w:cs="Times New Roman"/>
          <w:sz w:val="24"/>
          <w:szCs w:val="24"/>
        </w:rPr>
        <w:t>2011</w:t>
      </w:r>
      <w:r>
        <w:rPr>
          <w:rFonts w:ascii="Times New Roman" w:hAnsi="Times New Roman" w:cs="Times New Roman"/>
          <w:i/>
          <w:iCs/>
          <w:sz w:val="24"/>
          <w:szCs w:val="24"/>
        </w:rPr>
        <w:t>;</w:t>
      </w:r>
      <w:r w:rsidRPr="00D43B1B">
        <w:rPr>
          <w:rFonts w:ascii="Times New Roman" w:hAnsi="Times New Roman" w:cs="Times New Roman"/>
          <w:sz w:val="24"/>
          <w:szCs w:val="24"/>
        </w:rPr>
        <w:t xml:space="preserve"> 123</w:t>
      </w:r>
      <w:r>
        <w:rPr>
          <w:rFonts w:ascii="Times New Roman" w:hAnsi="Times New Roman" w:cs="Times New Roman"/>
          <w:sz w:val="24"/>
          <w:szCs w:val="24"/>
        </w:rPr>
        <w:t>:</w:t>
      </w:r>
      <w:r w:rsidRPr="00D43B1B">
        <w:rPr>
          <w:rFonts w:ascii="Times New Roman" w:hAnsi="Times New Roman" w:cs="Times New Roman"/>
          <w:sz w:val="24"/>
          <w:szCs w:val="24"/>
        </w:rPr>
        <w:t xml:space="preserve"> 2274 – 2283. </w:t>
      </w:r>
    </w:p>
    <w:p w14:paraId="4FB89B46" w14:textId="08A04142" w:rsidR="00D43B1B" w:rsidRPr="00D43B1B" w:rsidRDefault="00D43B1B" w:rsidP="00D43B1B">
      <w:pPr>
        <w:jc w:val="both"/>
        <w:rPr>
          <w:rFonts w:ascii="Times New Roman" w:hAnsi="Times New Roman" w:cs="Times New Roman"/>
          <w:sz w:val="24"/>
          <w:szCs w:val="24"/>
        </w:rPr>
      </w:pPr>
      <w:r>
        <w:rPr>
          <w:rFonts w:ascii="Times New Roman" w:hAnsi="Times New Roman" w:cs="Times New Roman"/>
          <w:sz w:val="24"/>
          <w:szCs w:val="24"/>
        </w:rPr>
        <w:t xml:space="preserve">6. </w:t>
      </w:r>
      <w:r w:rsidR="00A56E82" w:rsidRPr="00A56E82">
        <w:rPr>
          <w:rFonts w:ascii="Times New Roman" w:hAnsi="Times New Roman" w:cs="Times New Roman"/>
          <w:sz w:val="24"/>
          <w:szCs w:val="24"/>
        </w:rPr>
        <w:t xml:space="preserve">Barratt J. </w:t>
      </w:r>
      <w:r w:rsidR="00A56E82" w:rsidRPr="00A56E82">
        <w:rPr>
          <w:rFonts w:ascii="Times New Roman" w:hAnsi="Times New Roman" w:cs="Times New Roman"/>
          <w:i/>
          <w:iCs/>
          <w:sz w:val="24"/>
          <w:szCs w:val="24"/>
        </w:rPr>
        <w:t>We are living longer than ever. But are we living better?</w:t>
      </w:r>
      <w:r w:rsidR="00A56E82" w:rsidRPr="00A56E82">
        <w:rPr>
          <w:rFonts w:ascii="Times New Roman" w:hAnsi="Times New Roman" w:cs="Times New Roman"/>
          <w:sz w:val="24"/>
          <w:szCs w:val="24"/>
        </w:rPr>
        <w:t xml:space="preserve"> </w:t>
      </w:r>
      <w:r w:rsidR="007D0827">
        <w:rPr>
          <w:rFonts w:ascii="Times New Roman" w:hAnsi="Times New Roman" w:cs="Times New Roman"/>
          <w:sz w:val="24"/>
          <w:szCs w:val="24"/>
        </w:rPr>
        <w:t>STAT. 2017.</w:t>
      </w:r>
      <w:r w:rsidR="00A56E82" w:rsidRPr="00A56E82">
        <w:rPr>
          <w:rFonts w:ascii="Times New Roman" w:hAnsi="Times New Roman" w:cs="Times New Roman"/>
          <w:sz w:val="24"/>
          <w:szCs w:val="24"/>
        </w:rPr>
        <w:t xml:space="preserve"> </w:t>
      </w:r>
      <w:hyperlink r:id="rId9" w:history="1">
        <w:r w:rsidR="00A56E82" w:rsidRPr="00A56E82">
          <w:rPr>
            <w:rStyle w:val="Hyperlink"/>
            <w:rFonts w:ascii="Times New Roman" w:hAnsi="Times New Roman" w:cs="Times New Roman"/>
            <w:sz w:val="24"/>
            <w:szCs w:val="24"/>
          </w:rPr>
          <w:t>https://www.statnews.com/2017/02/14/living-longer-living-better-aging/</w:t>
        </w:r>
      </w:hyperlink>
    </w:p>
    <w:p w14:paraId="3263DE0C" w14:textId="6E45C152" w:rsidR="004C280B" w:rsidRDefault="007D0827" w:rsidP="00381AF3">
      <w:pPr>
        <w:jc w:val="both"/>
        <w:rPr>
          <w:rFonts w:ascii="Times New Roman" w:hAnsi="Times New Roman" w:cs="Times New Roman"/>
          <w:sz w:val="24"/>
          <w:szCs w:val="24"/>
        </w:rPr>
      </w:pPr>
      <w:r>
        <w:rPr>
          <w:rFonts w:ascii="Times New Roman" w:hAnsi="Times New Roman" w:cs="Times New Roman"/>
          <w:sz w:val="24"/>
          <w:szCs w:val="24"/>
        </w:rPr>
        <w:t xml:space="preserve">7. </w:t>
      </w:r>
      <w:r w:rsidRPr="007D0827">
        <w:rPr>
          <w:rFonts w:ascii="Times New Roman" w:hAnsi="Times New Roman" w:cs="Times New Roman"/>
          <w:sz w:val="24"/>
          <w:szCs w:val="24"/>
        </w:rPr>
        <w:t>World Health Organi</w:t>
      </w:r>
      <w:r>
        <w:rPr>
          <w:rFonts w:ascii="Times New Roman" w:hAnsi="Times New Roman" w:cs="Times New Roman"/>
          <w:sz w:val="24"/>
          <w:szCs w:val="24"/>
        </w:rPr>
        <w:t>z</w:t>
      </w:r>
      <w:r w:rsidRPr="007D0827">
        <w:rPr>
          <w:rFonts w:ascii="Times New Roman" w:hAnsi="Times New Roman" w:cs="Times New Roman"/>
          <w:sz w:val="24"/>
          <w:szCs w:val="24"/>
        </w:rPr>
        <w:t xml:space="preserve">ation. </w:t>
      </w:r>
      <w:r w:rsidRPr="007D0827">
        <w:rPr>
          <w:rFonts w:ascii="Times New Roman" w:hAnsi="Times New Roman" w:cs="Times New Roman"/>
          <w:i/>
          <w:iCs/>
          <w:sz w:val="24"/>
          <w:szCs w:val="24"/>
        </w:rPr>
        <w:t>Ageing and health</w:t>
      </w:r>
      <w:r w:rsidRPr="007D0827">
        <w:rPr>
          <w:rFonts w:ascii="Times New Roman" w:hAnsi="Times New Roman" w:cs="Times New Roman"/>
          <w:sz w:val="24"/>
          <w:szCs w:val="24"/>
        </w:rPr>
        <w:t xml:space="preserve">. WHO, </w:t>
      </w:r>
      <w:r>
        <w:rPr>
          <w:rFonts w:ascii="Times New Roman" w:hAnsi="Times New Roman" w:cs="Times New Roman"/>
          <w:sz w:val="24"/>
          <w:szCs w:val="24"/>
        </w:rPr>
        <w:t>2018</w:t>
      </w:r>
      <w:r w:rsidRPr="007D0827">
        <w:rPr>
          <w:rFonts w:ascii="Times New Roman" w:hAnsi="Times New Roman" w:cs="Times New Roman"/>
          <w:sz w:val="24"/>
          <w:szCs w:val="24"/>
        </w:rPr>
        <w:t xml:space="preserve">. </w:t>
      </w:r>
      <w:hyperlink r:id="rId10" w:history="1">
        <w:r w:rsidRPr="007D0827">
          <w:rPr>
            <w:rStyle w:val="Hyperlink"/>
            <w:rFonts w:ascii="Times New Roman" w:hAnsi="Times New Roman" w:cs="Times New Roman"/>
            <w:sz w:val="24"/>
            <w:szCs w:val="24"/>
          </w:rPr>
          <w:t>https://www.who.int/news-room/fact-sheets/detail/ageing-and-health</w:t>
        </w:r>
      </w:hyperlink>
    </w:p>
    <w:p w14:paraId="28BC5D1A" w14:textId="30B6C239" w:rsidR="00B25493" w:rsidRPr="00B25493" w:rsidRDefault="007D0827" w:rsidP="00B25493">
      <w:pPr>
        <w:jc w:val="both"/>
        <w:rPr>
          <w:rFonts w:ascii="Times New Roman" w:hAnsi="Times New Roman" w:cs="Times New Roman"/>
          <w:sz w:val="24"/>
          <w:szCs w:val="24"/>
        </w:rPr>
      </w:pPr>
      <w:r>
        <w:rPr>
          <w:rFonts w:ascii="Times New Roman" w:hAnsi="Times New Roman" w:cs="Times New Roman"/>
          <w:sz w:val="24"/>
          <w:szCs w:val="24"/>
        </w:rPr>
        <w:t xml:space="preserve">8. </w:t>
      </w:r>
      <w:r w:rsidR="00B25493" w:rsidRPr="00B25493">
        <w:rPr>
          <w:rFonts w:ascii="Times New Roman" w:hAnsi="Times New Roman" w:cs="Times New Roman"/>
          <w:sz w:val="24"/>
          <w:szCs w:val="24"/>
        </w:rPr>
        <w:t xml:space="preserve">World Health Organization. </w:t>
      </w:r>
      <w:r w:rsidR="00B25493" w:rsidRPr="00B25493">
        <w:rPr>
          <w:rFonts w:ascii="Times New Roman" w:hAnsi="Times New Roman" w:cs="Times New Roman"/>
          <w:i/>
          <w:iCs/>
          <w:sz w:val="24"/>
          <w:szCs w:val="24"/>
        </w:rPr>
        <w:t>Global Health and Aging</w:t>
      </w:r>
      <w:r w:rsidR="00B25493" w:rsidRPr="00B25493">
        <w:rPr>
          <w:rFonts w:ascii="Times New Roman" w:hAnsi="Times New Roman" w:cs="Times New Roman"/>
          <w:sz w:val="24"/>
          <w:szCs w:val="24"/>
        </w:rPr>
        <w:t xml:space="preserve">. </w:t>
      </w:r>
      <w:r w:rsidR="00B25493">
        <w:rPr>
          <w:rFonts w:ascii="Times New Roman" w:hAnsi="Times New Roman" w:cs="Times New Roman"/>
          <w:sz w:val="24"/>
          <w:szCs w:val="24"/>
        </w:rPr>
        <w:t>WHO, 2011.</w:t>
      </w:r>
      <w:r w:rsidR="00B25493" w:rsidRPr="00B25493">
        <w:rPr>
          <w:rFonts w:ascii="Times New Roman" w:hAnsi="Times New Roman" w:cs="Times New Roman"/>
          <w:sz w:val="24"/>
          <w:szCs w:val="24"/>
        </w:rPr>
        <w:t xml:space="preserve"> </w:t>
      </w:r>
      <w:hyperlink r:id="rId11" w:history="1">
        <w:r w:rsidR="00B25493" w:rsidRPr="00B25493">
          <w:rPr>
            <w:rStyle w:val="Hyperlink"/>
            <w:rFonts w:ascii="Times New Roman" w:hAnsi="Times New Roman" w:cs="Times New Roman"/>
            <w:sz w:val="24"/>
            <w:szCs w:val="24"/>
          </w:rPr>
          <w:t>https://www.who.int/ageing/publications/global_health.pdf</w:t>
        </w:r>
      </w:hyperlink>
      <w:r w:rsidR="00B25493" w:rsidRPr="00B25493">
        <w:rPr>
          <w:rFonts w:ascii="Times New Roman" w:hAnsi="Times New Roman" w:cs="Times New Roman"/>
          <w:sz w:val="24"/>
          <w:szCs w:val="24"/>
        </w:rPr>
        <w:t xml:space="preserve"> </w:t>
      </w:r>
      <w:bookmarkStart w:id="3" w:name="_Hlk110106444"/>
    </w:p>
    <w:bookmarkEnd w:id="3"/>
    <w:p w14:paraId="3E08608F" w14:textId="6231918E" w:rsidR="007D0827" w:rsidRDefault="00B25493" w:rsidP="00381AF3">
      <w:pPr>
        <w:jc w:val="both"/>
        <w:rPr>
          <w:rFonts w:ascii="Times New Roman" w:hAnsi="Times New Roman" w:cs="Times New Roman"/>
          <w:sz w:val="24"/>
          <w:szCs w:val="24"/>
        </w:rPr>
      </w:pPr>
      <w:r>
        <w:rPr>
          <w:rFonts w:ascii="Times New Roman" w:hAnsi="Times New Roman" w:cs="Times New Roman"/>
          <w:sz w:val="24"/>
          <w:szCs w:val="24"/>
        </w:rPr>
        <w:t xml:space="preserve">9. </w:t>
      </w:r>
      <w:bookmarkStart w:id="4" w:name="_Hlk111557717"/>
      <w:r w:rsidR="00964D76" w:rsidRPr="00964D76">
        <w:rPr>
          <w:rFonts w:ascii="Times New Roman" w:hAnsi="Times New Roman" w:cs="Times New Roman"/>
          <w:sz w:val="24"/>
          <w:szCs w:val="24"/>
        </w:rPr>
        <w:t xml:space="preserve">Tabish S.A. </w:t>
      </w:r>
      <w:bookmarkEnd w:id="4"/>
      <w:r w:rsidR="00964D76" w:rsidRPr="00964D76">
        <w:rPr>
          <w:rFonts w:ascii="Times New Roman" w:hAnsi="Times New Roman" w:cs="Times New Roman"/>
          <w:i/>
          <w:iCs/>
          <w:sz w:val="24"/>
          <w:szCs w:val="24"/>
        </w:rPr>
        <w:t>Population aging is a global phenomenon</w:t>
      </w:r>
      <w:r w:rsidR="00964D76" w:rsidRPr="00964D76">
        <w:rPr>
          <w:rFonts w:ascii="Times New Roman" w:hAnsi="Times New Roman" w:cs="Times New Roman"/>
          <w:sz w:val="24"/>
          <w:szCs w:val="24"/>
        </w:rPr>
        <w:t xml:space="preserve">. </w:t>
      </w:r>
      <w:r w:rsidR="004679A6" w:rsidRPr="004679A6">
        <w:rPr>
          <w:rFonts w:ascii="Times New Roman" w:hAnsi="Times New Roman" w:cs="Times New Roman"/>
          <w:sz w:val="24"/>
          <w:szCs w:val="24"/>
        </w:rPr>
        <w:t>Tabish S.A.</w:t>
      </w:r>
      <w:r w:rsidR="004679A6">
        <w:rPr>
          <w:rFonts w:ascii="Times New Roman" w:hAnsi="Times New Roman" w:cs="Times New Roman"/>
          <w:sz w:val="24"/>
          <w:szCs w:val="24"/>
        </w:rPr>
        <w:t xml:space="preserve">, </w:t>
      </w:r>
      <w:r w:rsidR="004679A6" w:rsidRPr="004679A6">
        <w:rPr>
          <w:rFonts w:ascii="Times New Roman" w:hAnsi="Times New Roman" w:cs="Times New Roman"/>
          <w:sz w:val="24"/>
          <w:szCs w:val="24"/>
        </w:rPr>
        <w:t>2012</w:t>
      </w:r>
      <w:r w:rsidR="004679A6">
        <w:rPr>
          <w:rFonts w:ascii="Times New Roman" w:hAnsi="Times New Roman" w:cs="Times New Roman"/>
          <w:sz w:val="24"/>
          <w:szCs w:val="24"/>
        </w:rPr>
        <w:t xml:space="preserve">. </w:t>
      </w:r>
      <w:hyperlink r:id="rId12" w:history="1">
        <w:r w:rsidR="004679A6" w:rsidRPr="00CB2E8C">
          <w:rPr>
            <w:rStyle w:val="Hyperlink"/>
            <w:rFonts w:ascii="Times New Roman" w:hAnsi="Times New Roman" w:cs="Times New Roman"/>
            <w:sz w:val="24"/>
            <w:szCs w:val="24"/>
          </w:rPr>
          <w:t>www.researchgate.net/publication/262915215_Population_aging_is_a_global_phenomenon</w:t>
        </w:r>
      </w:hyperlink>
      <w:r w:rsidR="00964D76" w:rsidRPr="00964D76">
        <w:rPr>
          <w:rFonts w:ascii="Times New Roman" w:hAnsi="Times New Roman" w:cs="Times New Roman"/>
          <w:sz w:val="24"/>
          <w:szCs w:val="24"/>
        </w:rPr>
        <w:t>.</w:t>
      </w:r>
    </w:p>
    <w:p w14:paraId="1284F789" w14:textId="3AB11FC8" w:rsidR="007D0827" w:rsidRDefault="004679A6" w:rsidP="00381AF3">
      <w:pPr>
        <w:jc w:val="both"/>
        <w:rPr>
          <w:rFonts w:ascii="Times New Roman" w:hAnsi="Times New Roman" w:cs="Times New Roman"/>
          <w:sz w:val="24"/>
          <w:szCs w:val="24"/>
        </w:rPr>
      </w:pPr>
      <w:r>
        <w:rPr>
          <w:rFonts w:ascii="Times New Roman" w:hAnsi="Times New Roman" w:cs="Times New Roman"/>
          <w:sz w:val="24"/>
          <w:szCs w:val="24"/>
        </w:rPr>
        <w:t xml:space="preserve">10. </w:t>
      </w:r>
      <w:r w:rsidR="004B563D" w:rsidRPr="004B563D">
        <w:rPr>
          <w:rFonts w:ascii="Times New Roman" w:hAnsi="Times New Roman" w:cs="Times New Roman"/>
          <w:sz w:val="24"/>
          <w:szCs w:val="24"/>
        </w:rPr>
        <w:t xml:space="preserve">United Nations </w:t>
      </w:r>
      <w:r w:rsidR="004B563D" w:rsidRPr="004B563D">
        <w:rPr>
          <w:rFonts w:ascii="Times New Roman" w:hAnsi="Times New Roman" w:cs="Times New Roman"/>
          <w:i/>
          <w:iCs/>
          <w:sz w:val="24"/>
          <w:szCs w:val="24"/>
        </w:rPr>
        <w:t>World Population Ageing</w:t>
      </w:r>
      <w:r w:rsidR="004B563D" w:rsidRPr="004B563D">
        <w:rPr>
          <w:rFonts w:ascii="Times New Roman" w:hAnsi="Times New Roman" w:cs="Times New Roman"/>
          <w:sz w:val="24"/>
          <w:szCs w:val="24"/>
        </w:rPr>
        <w:t>. United Nations</w:t>
      </w:r>
      <w:r w:rsidR="004B563D">
        <w:rPr>
          <w:rFonts w:ascii="Times New Roman" w:hAnsi="Times New Roman" w:cs="Times New Roman"/>
          <w:sz w:val="24"/>
          <w:szCs w:val="24"/>
        </w:rPr>
        <w:t xml:space="preserve">, </w:t>
      </w:r>
      <w:r w:rsidR="004B563D" w:rsidRPr="004B563D">
        <w:rPr>
          <w:rFonts w:ascii="Times New Roman" w:hAnsi="Times New Roman" w:cs="Times New Roman"/>
          <w:sz w:val="24"/>
          <w:szCs w:val="24"/>
        </w:rPr>
        <w:t>2017</w:t>
      </w:r>
      <w:r w:rsidR="004B563D">
        <w:rPr>
          <w:rFonts w:ascii="Times New Roman" w:hAnsi="Times New Roman" w:cs="Times New Roman"/>
          <w:sz w:val="24"/>
          <w:szCs w:val="24"/>
        </w:rPr>
        <w:t>.</w:t>
      </w:r>
      <w:r w:rsidR="004B563D" w:rsidRPr="004B563D">
        <w:rPr>
          <w:rFonts w:ascii="Times New Roman" w:hAnsi="Times New Roman" w:cs="Times New Roman"/>
          <w:sz w:val="24"/>
          <w:szCs w:val="24"/>
        </w:rPr>
        <w:t xml:space="preserve"> </w:t>
      </w:r>
      <w:hyperlink r:id="rId13" w:history="1">
        <w:r w:rsidR="004B563D" w:rsidRPr="004B563D">
          <w:rPr>
            <w:rStyle w:val="Hyperlink"/>
            <w:rFonts w:ascii="Times New Roman" w:hAnsi="Times New Roman" w:cs="Times New Roman"/>
            <w:sz w:val="24"/>
            <w:szCs w:val="24"/>
          </w:rPr>
          <w:t>https://www.un.org/en/development/desa/population/publications/pdf/ageing/WPA2017_Highlights.pdf</w:t>
        </w:r>
      </w:hyperlink>
      <w:r w:rsidR="004B563D" w:rsidRPr="004B563D">
        <w:rPr>
          <w:rFonts w:ascii="Times New Roman" w:hAnsi="Times New Roman" w:cs="Times New Roman"/>
          <w:sz w:val="24"/>
          <w:szCs w:val="24"/>
        </w:rPr>
        <w:t>.</w:t>
      </w:r>
    </w:p>
    <w:p w14:paraId="65A55E49" w14:textId="77777777" w:rsidR="007D0827" w:rsidRPr="00A81918" w:rsidRDefault="007D0827" w:rsidP="00381AF3">
      <w:pPr>
        <w:jc w:val="both"/>
        <w:rPr>
          <w:rFonts w:ascii="Times New Roman" w:hAnsi="Times New Roman" w:cs="Times New Roman"/>
          <w:sz w:val="24"/>
          <w:szCs w:val="24"/>
        </w:rPr>
      </w:pPr>
    </w:p>
    <w:sectPr w:rsidR="007D0827" w:rsidRPr="00A819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A37"/>
    <w:rsid w:val="000473EE"/>
    <w:rsid w:val="000513BA"/>
    <w:rsid w:val="00112C32"/>
    <w:rsid w:val="0022204D"/>
    <w:rsid w:val="002B7A37"/>
    <w:rsid w:val="00381AF3"/>
    <w:rsid w:val="0039208E"/>
    <w:rsid w:val="003B394D"/>
    <w:rsid w:val="003F5624"/>
    <w:rsid w:val="004679A6"/>
    <w:rsid w:val="004A2277"/>
    <w:rsid w:val="004B563D"/>
    <w:rsid w:val="004C280B"/>
    <w:rsid w:val="004F2343"/>
    <w:rsid w:val="0050331A"/>
    <w:rsid w:val="005A6FAD"/>
    <w:rsid w:val="006C0F90"/>
    <w:rsid w:val="006D144F"/>
    <w:rsid w:val="007817A7"/>
    <w:rsid w:val="0078424B"/>
    <w:rsid w:val="007B459A"/>
    <w:rsid w:val="007D0827"/>
    <w:rsid w:val="007E35B0"/>
    <w:rsid w:val="008952EB"/>
    <w:rsid w:val="008E5902"/>
    <w:rsid w:val="00964D76"/>
    <w:rsid w:val="009D26E4"/>
    <w:rsid w:val="00A56E82"/>
    <w:rsid w:val="00A81918"/>
    <w:rsid w:val="00A87222"/>
    <w:rsid w:val="00AE010C"/>
    <w:rsid w:val="00B25493"/>
    <w:rsid w:val="00B97E94"/>
    <w:rsid w:val="00D43B1B"/>
    <w:rsid w:val="00E37987"/>
    <w:rsid w:val="00EF4575"/>
    <w:rsid w:val="00F46CBA"/>
    <w:rsid w:val="00FB0E1B"/>
    <w:rsid w:val="00FC2328"/>
    <w:rsid w:val="00FE3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25E11"/>
  <w15:chartTrackingRefBased/>
  <w15:docId w15:val="{B36B5CDB-1CF7-4685-B566-FBCBDB4E0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A3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52EB"/>
    <w:rPr>
      <w:color w:val="0563C1" w:themeColor="hyperlink"/>
      <w:u w:val="single"/>
    </w:rPr>
  </w:style>
  <w:style w:type="character" w:styleId="UnresolvedMention">
    <w:name w:val="Unresolved Mention"/>
    <w:basedOn w:val="DefaultParagraphFont"/>
    <w:uiPriority w:val="99"/>
    <w:semiHidden/>
    <w:unhideWhenUsed/>
    <w:rsid w:val="008952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manandhome.com/health-and-wellbeing/biological-age-calculator-20430/" TargetMode="External"/><Relationship Id="rId13" Type="http://schemas.openxmlformats.org/officeDocument/2006/relationships/hyperlink" Target="https://www.un.org/en/development/desa/population/publications/pdf/ageing/WPA2017_Highlights.pdf" TargetMode="External"/><Relationship Id="rId3" Type="http://schemas.openxmlformats.org/officeDocument/2006/relationships/webSettings" Target="webSettings.xml"/><Relationship Id="rId7" Type="http://schemas.openxmlformats.org/officeDocument/2006/relationships/hyperlink" Target="http://apps.who.int/iris/bitstream/handle/10665/186463/9789240694811_eng.pdf;jsessionid=FD0D4724D6073BBFC1CA52618828A755?sequence=1" TargetMode="External"/><Relationship Id="rId12" Type="http://schemas.openxmlformats.org/officeDocument/2006/relationships/hyperlink" Target="http://www.researchgate.net/publication/262915215_Population_aging_is_a_global_phenomen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10.1016/j.maturitas.2013.02.011" TargetMode="External"/><Relationship Id="rId11" Type="http://schemas.openxmlformats.org/officeDocument/2006/relationships/hyperlink" Target="https://www.who.int/ageing/publications/global_health.pdf" TargetMode="External"/><Relationship Id="rId5" Type="http://schemas.openxmlformats.org/officeDocument/2006/relationships/hyperlink" Target="https://doi:10.3390/ijms20030769" TargetMode="External"/><Relationship Id="rId15" Type="http://schemas.openxmlformats.org/officeDocument/2006/relationships/theme" Target="theme/theme1.xml"/><Relationship Id="rId10" Type="http://schemas.openxmlformats.org/officeDocument/2006/relationships/hyperlink" Target="https://www.who.int/news-room/fact-sheets/detail/ageing-and-health" TargetMode="External"/><Relationship Id="rId4" Type="http://schemas.openxmlformats.org/officeDocument/2006/relationships/image" Target="media/image1.png"/><Relationship Id="rId9" Type="http://schemas.openxmlformats.org/officeDocument/2006/relationships/hyperlink" Target="https://www.statnews.com/2017/02/14/living-longer-living-better-agin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1069</TotalTime>
  <Pages>3</Pages>
  <Words>1133</Words>
  <Characters>6460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27</cp:revision>
  <dcterms:created xsi:type="dcterms:W3CDTF">2022-08-15T20:48:00Z</dcterms:created>
  <dcterms:modified xsi:type="dcterms:W3CDTF">2022-08-16T15:27:00Z</dcterms:modified>
</cp:coreProperties>
</file>