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B14D66" w14:textId="3FC5BF1F" w:rsidR="00AE3E37" w:rsidRDefault="00AC2E48" w:rsidP="00494130">
      <w:pPr>
        <w:pStyle w:val="Heading1"/>
        <w:spacing w:before="170"/>
        <w:ind w:left="0"/>
      </w:pPr>
      <w:r>
        <w:rPr>
          <w:color w:val="337AB7"/>
        </w:rPr>
        <w:t xml:space="preserve">Stimulating self-change in older people’s </w:t>
      </w:r>
      <w:r w:rsidR="001704A6">
        <w:rPr>
          <w:color w:val="337AB7"/>
        </w:rPr>
        <w:t>lifestyle</w:t>
      </w:r>
      <w:r>
        <w:rPr>
          <w:color w:val="337AB7"/>
        </w:rPr>
        <w:t xml:space="preserve"> through role models </w:t>
      </w:r>
    </w:p>
    <w:p w14:paraId="7B899042" w14:textId="77777777" w:rsidR="00AC2E48" w:rsidRDefault="00AC2E48" w:rsidP="005973B9">
      <w:pPr>
        <w:pStyle w:val="BodyText"/>
        <w:spacing w:before="73" w:line="198" w:lineRule="exact"/>
        <w:ind w:left="100" w:right="5987"/>
        <w:rPr>
          <w:rFonts w:ascii="Arial"/>
        </w:rPr>
      </w:pPr>
    </w:p>
    <w:p w14:paraId="5591A5D6" w14:textId="77777777" w:rsidR="00AC2E48" w:rsidRDefault="00AC2E48" w:rsidP="005973B9">
      <w:pPr>
        <w:pStyle w:val="BodyText"/>
        <w:spacing w:before="73" w:line="198" w:lineRule="exact"/>
        <w:ind w:left="100" w:right="5987"/>
        <w:rPr>
          <w:rFonts w:ascii="Arial"/>
        </w:rPr>
      </w:pPr>
    </w:p>
    <w:p w14:paraId="2BF3021F" w14:textId="6CB1BBA0" w:rsidR="005973B9" w:rsidRDefault="00AC2E48" w:rsidP="005973B9">
      <w:pPr>
        <w:pStyle w:val="BodyText"/>
        <w:spacing w:before="73" w:line="198" w:lineRule="exact"/>
        <w:ind w:left="100" w:right="5987"/>
        <w:rPr>
          <w:rFonts w:ascii="Arial"/>
        </w:rPr>
      </w:pPr>
      <w:r>
        <w:rPr>
          <w:rFonts w:ascii="Arial"/>
        </w:rPr>
        <w:t xml:space="preserve">Jane Thurnell-Read, M.Sc. </w:t>
      </w:r>
      <w:hyperlink r:id="rId7" w:history="1">
        <w:r w:rsidR="00453290" w:rsidRPr="0097397C">
          <w:rPr>
            <w:rStyle w:val="Hyperlink"/>
            <w:rFonts w:ascii="Arial"/>
          </w:rPr>
          <w:t>www.upliness.net</w:t>
        </w:r>
      </w:hyperlink>
      <w:r w:rsidR="00453290">
        <w:rPr>
          <w:rFonts w:ascii="Arial"/>
        </w:rPr>
        <w:t xml:space="preserve"> </w:t>
      </w:r>
    </w:p>
    <w:p w14:paraId="24A51E5A" w14:textId="77777777" w:rsidR="00AE3E37" w:rsidRDefault="00AE3E37">
      <w:pPr>
        <w:pStyle w:val="BodyText"/>
        <w:rPr>
          <w:rFonts w:ascii="Arial"/>
          <w:sz w:val="20"/>
        </w:rPr>
      </w:pPr>
    </w:p>
    <w:p w14:paraId="6D8A3A49" w14:textId="77777777" w:rsidR="00AE3E37" w:rsidRDefault="00AE3E37">
      <w:pPr>
        <w:pStyle w:val="BodyText"/>
        <w:spacing w:before="3"/>
        <w:rPr>
          <w:rFonts w:ascii="Arial"/>
          <w:sz w:val="21"/>
        </w:rPr>
      </w:pPr>
    </w:p>
    <w:p w14:paraId="6AEAE95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105D0B8" w14:textId="7977D3BF" w:rsidR="00AE3E37" w:rsidRDefault="00A9710C">
      <w:pPr>
        <w:pStyle w:val="Heading3"/>
        <w:spacing w:before="147"/>
        <w:jc w:val="both"/>
      </w:pPr>
      <w:r>
        <w:rPr>
          <w:color w:val="BF5A14"/>
        </w:rPr>
        <w:t>Abstract</w:t>
      </w:r>
      <w:r w:rsidR="00404E5B">
        <w:rPr>
          <w:color w:val="BF5A14"/>
        </w:rPr>
        <w:t xml:space="preserve"> </w:t>
      </w:r>
    </w:p>
    <w:p w14:paraId="503C4840" w14:textId="77777777" w:rsidR="00AC2E48" w:rsidRDefault="00AC2E48">
      <w:pPr>
        <w:pStyle w:val="BodyText"/>
        <w:spacing w:before="90" w:line="280" w:lineRule="auto"/>
        <w:ind w:left="100"/>
        <w:jc w:val="both"/>
      </w:pPr>
    </w:p>
    <w:p w14:paraId="090323D6" w14:textId="61119EF1" w:rsidR="00DD39B3" w:rsidRPr="00A30ED0" w:rsidRDefault="00DD39B3" w:rsidP="00DD39B3">
      <w:pPr>
        <w:ind w:left="100"/>
        <w:rPr>
          <w:rFonts w:asciiTheme="minorHAnsi" w:hAnsiTheme="minorHAnsi" w:cstheme="minorHAnsi"/>
          <w:sz w:val="20"/>
          <w:szCs w:val="20"/>
        </w:rPr>
      </w:pPr>
      <w:r w:rsidRPr="00A30ED0">
        <w:rPr>
          <w:rFonts w:asciiTheme="minorHAnsi" w:hAnsiTheme="minorHAnsi" w:cstheme="minorHAnsi"/>
          <w:sz w:val="20"/>
          <w:szCs w:val="20"/>
        </w:rPr>
        <w:t xml:space="preserve">Large numbers of older people suffer from chronic ill health and fear of falling. A quarter of people over 65 suffer from depression. On average people experience ill health and limitation for the last 20% of their lives. Health and social policies widely recommend that older people need to change their </w:t>
      </w:r>
      <w:proofErr w:type="spellStart"/>
      <w:r w:rsidRPr="00A30ED0">
        <w:rPr>
          <w:rFonts w:asciiTheme="minorHAnsi" w:hAnsiTheme="minorHAnsi" w:cstheme="minorHAnsi"/>
          <w:sz w:val="20"/>
          <w:szCs w:val="20"/>
        </w:rPr>
        <w:t>behaviour</w:t>
      </w:r>
      <w:proofErr w:type="spellEnd"/>
      <w:r w:rsidRPr="00A30ED0">
        <w:rPr>
          <w:rFonts w:asciiTheme="minorHAnsi" w:hAnsiTheme="minorHAnsi" w:cstheme="minorHAnsi"/>
          <w:sz w:val="20"/>
          <w:szCs w:val="20"/>
        </w:rPr>
        <w:t xml:space="preserve">, both for their own sake and because of the strain on health and social services. </w:t>
      </w:r>
    </w:p>
    <w:p w14:paraId="7C0B688D" w14:textId="77777777" w:rsidR="00DD39B3" w:rsidRPr="00A30ED0" w:rsidRDefault="00DD39B3" w:rsidP="00DD39B3">
      <w:pPr>
        <w:ind w:left="100"/>
        <w:rPr>
          <w:rFonts w:asciiTheme="minorHAnsi" w:hAnsiTheme="minorHAnsi" w:cstheme="minorHAnsi"/>
          <w:sz w:val="20"/>
          <w:szCs w:val="20"/>
        </w:rPr>
      </w:pPr>
    </w:p>
    <w:p w14:paraId="6F4B562C" w14:textId="77777777" w:rsidR="00DD39B3" w:rsidRPr="00A30ED0" w:rsidRDefault="00DD39B3" w:rsidP="00DD39B3">
      <w:pPr>
        <w:ind w:left="100"/>
        <w:rPr>
          <w:rFonts w:asciiTheme="minorHAnsi" w:hAnsiTheme="minorHAnsi" w:cstheme="minorHAnsi"/>
          <w:sz w:val="20"/>
          <w:szCs w:val="20"/>
        </w:rPr>
      </w:pPr>
      <w:r w:rsidRPr="00A30ED0">
        <w:rPr>
          <w:rFonts w:asciiTheme="minorHAnsi" w:hAnsiTheme="minorHAnsi" w:cstheme="minorHAnsi"/>
          <w:sz w:val="20"/>
          <w:szCs w:val="20"/>
        </w:rPr>
        <w:t xml:space="preserve">Reaching this group is not difficult </w:t>
      </w:r>
      <w:proofErr w:type="gramStart"/>
      <w:r w:rsidRPr="00A30ED0">
        <w:rPr>
          <w:rFonts w:asciiTheme="minorHAnsi" w:hAnsiTheme="minorHAnsi" w:cstheme="minorHAnsi"/>
          <w:sz w:val="20"/>
          <w:szCs w:val="20"/>
        </w:rPr>
        <w:t>administratively, but</w:t>
      </w:r>
      <w:proofErr w:type="gramEnd"/>
      <w:r w:rsidRPr="00A30ED0">
        <w:rPr>
          <w:rFonts w:asciiTheme="minorHAnsi" w:hAnsiTheme="minorHAnsi" w:cstheme="minorHAnsi"/>
          <w:sz w:val="20"/>
          <w:szCs w:val="20"/>
        </w:rPr>
        <w:t xml:space="preserve"> changing their </w:t>
      </w:r>
      <w:proofErr w:type="spellStart"/>
      <w:r w:rsidRPr="00A30ED0">
        <w:rPr>
          <w:rFonts w:asciiTheme="minorHAnsi" w:hAnsiTheme="minorHAnsi" w:cstheme="minorHAnsi"/>
          <w:sz w:val="20"/>
          <w:szCs w:val="20"/>
        </w:rPr>
        <w:t>behaviour</w:t>
      </w:r>
      <w:proofErr w:type="spellEnd"/>
      <w:r w:rsidRPr="00A30ED0">
        <w:rPr>
          <w:rFonts w:asciiTheme="minorHAnsi" w:hAnsiTheme="minorHAnsi" w:cstheme="minorHAnsi"/>
          <w:sz w:val="20"/>
          <w:szCs w:val="20"/>
        </w:rPr>
        <w:t xml:space="preserve"> is. Exhortation and the presentation of information has limited success. Medical practitioners are often too busy to devote the time needed to mentor the necessary changes.  </w:t>
      </w:r>
    </w:p>
    <w:p w14:paraId="00928D5D" w14:textId="77777777" w:rsidR="00DD39B3" w:rsidRPr="00A30ED0" w:rsidRDefault="00DD39B3" w:rsidP="00DD39B3">
      <w:pPr>
        <w:ind w:left="100"/>
        <w:rPr>
          <w:rFonts w:asciiTheme="minorHAnsi" w:hAnsiTheme="minorHAnsi" w:cstheme="minorHAnsi"/>
          <w:sz w:val="20"/>
          <w:szCs w:val="20"/>
        </w:rPr>
      </w:pPr>
    </w:p>
    <w:p w14:paraId="4005E92D" w14:textId="77777777" w:rsidR="00DD39B3" w:rsidRPr="00A30ED0" w:rsidRDefault="00DD39B3" w:rsidP="00DD39B3">
      <w:pPr>
        <w:ind w:left="100"/>
        <w:rPr>
          <w:rFonts w:asciiTheme="minorHAnsi" w:hAnsiTheme="minorHAnsi" w:cstheme="minorHAnsi"/>
          <w:sz w:val="20"/>
          <w:szCs w:val="20"/>
        </w:rPr>
      </w:pPr>
      <w:r w:rsidRPr="00A30ED0">
        <w:rPr>
          <w:rFonts w:asciiTheme="minorHAnsi" w:hAnsiTheme="minorHAnsi" w:cstheme="minorHAnsi"/>
          <w:sz w:val="20"/>
          <w:szCs w:val="20"/>
        </w:rPr>
        <w:t xml:space="preserve">Some older people lack the knowledge, but most lack the belief that they can improve their health and lifestyle. They may believe that this is because of genetic or familial predisposition. They may think that they are too old to make change worthwhile, or that change is expensive and arduous. </w:t>
      </w:r>
    </w:p>
    <w:p w14:paraId="53E24B32" w14:textId="77777777" w:rsidR="00DD39B3" w:rsidRPr="00A30ED0" w:rsidRDefault="00DD39B3" w:rsidP="00DD39B3">
      <w:pPr>
        <w:ind w:left="100"/>
        <w:rPr>
          <w:rFonts w:asciiTheme="minorHAnsi" w:hAnsiTheme="minorHAnsi" w:cstheme="minorHAnsi"/>
          <w:sz w:val="20"/>
          <w:szCs w:val="20"/>
        </w:rPr>
      </w:pPr>
    </w:p>
    <w:p w14:paraId="588272B3" w14:textId="3DCF46F7" w:rsidR="00DD39B3" w:rsidRPr="00A30ED0" w:rsidRDefault="00DD39B3" w:rsidP="00DD39B3">
      <w:pPr>
        <w:ind w:left="100"/>
        <w:rPr>
          <w:rFonts w:asciiTheme="minorHAnsi" w:hAnsiTheme="minorHAnsi" w:cstheme="minorHAnsi"/>
          <w:sz w:val="20"/>
          <w:szCs w:val="20"/>
        </w:rPr>
      </w:pPr>
      <w:r w:rsidRPr="00A30ED0">
        <w:rPr>
          <w:rFonts w:asciiTheme="minorHAnsi" w:hAnsiTheme="minorHAnsi" w:cstheme="minorHAnsi"/>
          <w:sz w:val="20"/>
          <w:szCs w:val="20"/>
        </w:rPr>
        <w:t xml:space="preserve">Everyday role models are an important part of changing people’s </w:t>
      </w:r>
      <w:proofErr w:type="spellStart"/>
      <w:r w:rsidRPr="00A30ED0">
        <w:rPr>
          <w:rFonts w:asciiTheme="minorHAnsi" w:hAnsiTheme="minorHAnsi" w:cstheme="minorHAnsi"/>
          <w:sz w:val="20"/>
          <w:szCs w:val="20"/>
        </w:rPr>
        <w:t>behaviour</w:t>
      </w:r>
      <w:proofErr w:type="spellEnd"/>
      <w:r w:rsidRPr="00A30ED0">
        <w:rPr>
          <w:rFonts w:asciiTheme="minorHAnsi" w:hAnsiTheme="minorHAnsi" w:cstheme="minorHAnsi"/>
          <w:sz w:val="20"/>
          <w:szCs w:val="20"/>
        </w:rPr>
        <w:t xml:space="preserve"> whatever the age. This paper will look at strategies for finding real life role models, and the most effective ways to present them to older people.</w:t>
      </w:r>
    </w:p>
    <w:p w14:paraId="37D2C48E" w14:textId="77777777" w:rsidR="00AC2E48" w:rsidRPr="00A30ED0" w:rsidRDefault="00AC2E48">
      <w:pPr>
        <w:pStyle w:val="BodyText"/>
        <w:spacing w:before="90" w:line="280" w:lineRule="auto"/>
        <w:ind w:left="100"/>
        <w:jc w:val="both"/>
        <w:rPr>
          <w:rFonts w:asciiTheme="minorHAnsi" w:hAnsiTheme="minorHAnsi" w:cstheme="minorHAnsi"/>
        </w:rPr>
      </w:pPr>
    </w:p>
    <w:p w14:paraId="321D6DD5" w14:textId="77777777" w:rsidR="00AC2E48" w:rsidRDefault="00AC2E48">
      <w:pPr>
        <w:pStyle w:val="BodyText"/>
        <w:spacing w:before="90" w:line="280" w:lineRule="auto"/>
        <w:ind w:left="100"/>
        <w:jc w:val="both"/>
      </w:pPr>
    </w:p>
    <w:p w14:paraId="02E89604" w14:textId="77777777" w:rsidR="00AC2E48" w:rsidRDefault="00AC2E48">
      <w:pPr>
        <w:pStyle w:val="BodyText"/>
        <w:spacing w:before="90" w:line="280" w:lineRule="auto"/>
        <w:ind w:left="100"/>
        <w:jc w:val="both"/>
      </w:pPr>
    </w:p>
    <w:p w14:paraId="13547C59" w14:textId="6CAB007E" w:rsidR="00AE3E37" w:rsidRDefault="00A9710C">
      <w:pPr>
        <w:pStyle w:val="Heading3"/>
        <w:spacing w:before="74"/>
      </w:pPr>
      <w:r>
        <w:rPr>
          <w:b w:val="0"/>
        </w:rPr>
        <w:br w:type="column"/>
      </w:r>
      <w:r>
        <w:rPr>
          <w:color w:val="BF5A14"/>
        </w:rPr>
        <w:t>Image</w:t>
      </w:r>
      <w:r w:rsidR="00140126">
        <w:rPr>
          <w:color w:val="BF5A14"/>
        </w:rPr>
        <w:t>: common ideas about ageing</w:t>
      </w:r>
    </w:p>
    <w:p w14:paraId="2B332E89" w14:textId="2B86309F" w:rsidR="00AE3E37" w:rsidRDefault="00140126">
      <w:pPr>
        <w:pStyle w:val="BodyText"/>
        <w:spacing w:before="2"/>
        <w:rPr>
          <w:rFonts w:ascii="Arial"/>
          <w:b/>
          <w:sz w:val="16"/>
        </w:rPr>
      </w:pPr>
      <w:r>
        <w:rPr>
          <w:rFonts w:ascii="Arial"/>
          <w:b/>
          <w:noProof/>
          <w:sz w:val="16"/>
        </w:rPr>
        <w:drawing>
          <wp:inline distT="0" distB="0" distL="0" distR="0" wp14:anchorId="56040D0A" wp14:editId="4FDCE692">
            <wp:extent cx="2980067" cy="2235200"/>
            <wp:effectExtent l="0" t="0" r="0" b="0"/>
            <wp:docPr id="2" name="Picture 2" descr="what it is to be 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 it is to be ol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84806" cy="2238755"/>
                    </a:xfrm>
                    <a:prstGeom prst="rect">
                      <a:avLst/>
                    </a:prstGeom>
                  </pic:spPr>
                </pic:pic>
              </a:graphicData>
            </a:graphic>
          </wp:inline>
        </w:drawing>
      </w:r>
    </w:p>
    <w:p w14:paraId="658D0D31" w14:textId="39D963F2" w:rsidR="005973B9" w:rsidRDefault="005973B9" w:rsidP="005973B9">
      <w:pPr>
        <w:spacing w:line="204" w:lineRule="exact"/>
        <w:rPr>
          <w:rFonts w:ascii="Arial"/>
          <w:b/>
          <w:sz w:val="20"/>
        </w:rPr>
      </w:pPr>
      <w:r>
        <w:rPr>
          <w:rFonts w:ascii="Arial"/>
          <w:b/>
          <w:color w:val="BF5A14"/>
          <w:sz w:val="20"/>
        </w:rPr>
        <w:br/>
      </w:r>
      <w:r w:rsidR="00453290">
        <w:rPr>
          <w:rFonts w:ascii="Arial"/>
          <w:b/>
          <w:color w:val="BF5A14"/>
          <w:sz w:val="20"/>
        </w:rPr>
        <w:t>References</w:t>
      </w:r>
      <w:r>
        <w:rPr>
          <w:rFonts w:ascii="Arial"/>
          <w:b/>
          <w:color w:val="BF5A14"/>
          <w:sz w:val="20"/>
        </w:rPr>
        <w:t xml:space="preserve"> </w:t>
      </w:r>
    </w:p>
    <w:p w14:paraId="0532C38F" w14:textId="4A304EA0" w:rsidR="005973B9" w:rsidRPr="00453290" w:rsidRDefault="00A37D56" w:rsidP="003770C6">
      <w:pPr>
        <w:pStyle w:val="ListParagraph"/>
        <w:numPr>
          <w:ilvl w:val="0"/>
          <w:numId w:val="3"/>
        </w:numPr>
        <w:tabs>
          <w:tab w:val="left" w:pos="384"/>
        </w:tabs>
        <w:spacing w:line="216" w:lineRule="exact"/>
        <w:ind w:right="137"/>
        <w:rPr>
          <w:sz w:val="20"/>
          <w:szCs w:val="20"/>
        </w:rPr>
      </w:pPr>
      <w:r w:rsidRPr="00453290">
        <w:rPr>
          <w:sz w:val="20"/>
          <w:szCs w:val="20"/>
        </w:rPr>
        <w:t xml:space="preserve">Nervik et al </w:t>
      </w:r>
      <w:r w:rsidR="001704A6" w:rsidRPr="00453290">
        <w:rPr>
          <w:sz w:val="20"/>
          <w:szCs w:val="20"/>
        </w:rPr>
        <w:t>The value of role models in design of social</w:t>
      </w:r>
      <w:r w:rsidRPr="00453290">
        <w:rPr>
          <w:sz w:val="20"/>
          <w:szCs w:val="20"/>
        </w:rPr>
        <w:t xml:space="preserve"> </w:t>
      </w:r>
      <w:r w:rsidR="001704A6" w:rsidRPr="00453290">
        <w:rPr>
          <w:sz w:val="20"/>
          <w:szCs w:val="20"/>
        </w:rPr>
        <w:t>media for elderly</w:t>
      </w:r>
      <w:r w:rsidRPr="00453290">
        <w:rPr>
          <w:sz w:val="20"/>
          <w:szCs w:val="20"/>
        </w:rPr>
        <w:t xml:space="preserve">. </w:t>
      </w:r>
      <w:r w:rsidRPr="00453290">
        <w:rPr>
          <w:sz w:val="20"/>
          <w:szCs w:val="20"/>
        </w:rPr>
        <w:t>23rd International Conference of the European Federation for Medical Informatics</w:t>
      </w:r>
    </w:p>
    <w:p w14:paraId="0785059E" w14:textId="161393CD" w:rsidR="005973B9" w:rsidRPr="00453290" w:rsidRDefault="00A37D56" w:rsidP="005973B9">
      <w:pPr>
        <w:pStyle w:val="ListParagraph"/>
        <w:numPr>
          <w:ilvl w:val="0"/>
          <w:numId w:val="3"/>
        </w:numPr>
        <w:tabs>
          <w:tab w:val="left" w:pos="384"/>
        </w:tabs>
        <w:spacing w:line="216" w:lineRule="exact"/>
        <w:ind w:right="138" w:hanging="283"/>
        <w:rPr>
          <w:sz w:val="20"/>
          <w:szCs w:val="20"/>
        </w:rPr>
      </w:pPr>
      <w:r w:rsidRPr="00453290">
        <w:rPr>
          <w:sz w:val="20"/>
          <w:szCs w:val="20"/>
        </w:rPr>
        <w:t xml:space="preserve">Heidrich and Riff, </w:t>
      </w:r>
      <w:r w:rsidRPr="00453290">
        <w:rPr>
          <w:sz w:val="20"/>
          <w:szCs w:val="20"/>
        </w:rPr>
        <w:t>The Role of Social Comparisons Processes in the Psychological Adaptation of Elderly Adults</w:t>
      </w:r>
      <w:r w:rsidRPr="00453290">
        <w:rPr>
          <w:sz w:val="20"/>
          <w:szCs w:val="20"/>
        </w:rPr>
        <w:t xml:space="preserve">, </w:t>
      </w:r>
      <w:r w:rsidRPr="00453290">
        <w:rPr>
          <w:sz w:val="20"/>
          <w:szCs w:val="20"/>
        </w:rPr>
        <w:t>Journal of Gerontology, Volume 48, Issue 3</w:t>
      </w:r>
    </w:p>
    <w:p w14:paraId="606857FF" w14:textId="77777777" w:rsidR="00A37D56" w:rsidRPr="00453290" w:rsidRDefault="00A37D56" w:rsidP="007A44E1">
      <w:pPr>
        <w:pStyle w:val="ListParagraph"/>
        <w:numPr>
          <w:ilvl w:val="0"/>
          <w:numId w:val="3"/>
        </w:numPr>
        <w:tabs>
          <w:tab w:val="left" w:pos="384"/>
        </w:tabs>
        <w:spacing w:before="85" w:line="216" w:lineRule="exact"/>
        <w:ind w:right="138"/>
        <w:rPr>
          <w:sz w:val="20"/>
          <w:szCs w:val="20"/>
        </w:rPr>
      </w:pPr>
      <w:r w:rsidRPr="00453290">
        <w:rPr>
          <w:sz w:val="20"/>
          <w:szCs w:val="20"/>
        </w:rPr>
        <w:t xml:space="preserve">Jopp et al </w:t>
      </w:r>
      <w:r w:rsidRPr="00453290">
        <w:rPr>
          <w:sz w:val="20"/>
          <w:szCs w:val="20"/>
        </w:rPr>
        <w:t>Who Is Your Successful Aging Role Model?</w:t>
      </w:r>
      <w:r w:rsidRPr="00453290">
        <w:rPr>
          <w:sz w:val="20"/>
          <w:szCs w:val="20"/>
        </w:rPr>
        <w:t xml:space="preserve"> </w:t>
      </w:r>
      <w:r w:rsidRPr="00453290">
        <w:rPr>
          <w:sz w:val="20"/>
          <w:szCs w:val="20"/>
        </w:rPr>
        <w:t>The Journals of Gerontology: Series B, Volume 72, Issue 2</w:t>
      </w:r>
    </w:p>
    <w:p w14:paraId="6352E8C4" w14:textId="77777777" w:rsidR="00453290" w:rsidRPr="00453290" w:rsidRDefault="00A37D56" w:rsidP="00773180">
      <w:pPr>
        <w:pStyle w:val="ListParagraph"/>
        <w:numPr>
          <w:ilvl w:val="0"/>
          <w:numId w:val="3"/>
        </w:numPr>
        <w:tabs>
          <w:tab w:val="left" w:pos="384"/>
        </w:tabs>
        <w:spacing w:before="85"/>
        <w:ind w:right="117"/>
        <w:rPr>
          <w:sz w:val="20"/>
          <w:szCs w:val="20"/>
        </w:rPr>
      </w:pPr>
      <w:r w:rsidRPr="00453290">
        <w:rPr>
          <w:sz w:val="20"/>
          <w:szCs w:val="20"/>
        </w:rPr>
        <w:t>Prof. Dr Andreas Kruse</w:t>
      </w:r>
      <w:r w:rsidRPr="00453290">
        <w:rPr>
          <w:sz w:val="20"/>
          <w:szCs w:val="20"/>
        </w:rPr>
        <w:t xml:space="preserve">, </w:t>
      </w:r>
      <w:r w:rsidRPr="00453290">
        <w:rPr>
          <w:sz w:val="20"/>
          <w:szCs w:val="20"/>
        </w:rPr>
        <w:t xml:space="preserve">The </w:t>
      </w:r>
      <w:r w:rsidRPr="00453290">
        <w:rPr>
          <w:sz w:val="20"/>
          <w:szCs w:val="20"/>
        </w:rPr>
        <w:t xml:space="preserve">Elderly Can Be Good Role Models, </w:t>
      </w:r>
      <w:r w:rsidRPr="00453290">
        <w:rPr>
          <w:sz w:val="20"/>
          <w:szCs w:val="20"/>
        </w:rPr>
        <w:t>Heidelberg University</w:t>
      </w:r>
      <w:r w:rsidRPr="00453290">
        <w:rPr>
          <w:sz w:val="20"/>
          <w:szCs w:val="20"/>
        </w:rPr>
        <w:t xml:space="preserve"> interview</w:t>
      </w:r>
    </w:p>
    <w:p w14:paraId="4749FD73" w14:textId="6F4C75DF" w:rsidR="00AE3E37" w:rsidRPr="00453290" w:rsidRDefault="00453290" w:rsidP="00773180">
      <w:pPr>
        <w:pStyle w:val="ListParagraph"/>
        <w:numPr>
          <w:ilvl w:val="0"/>
          <w:numId w:val="3"/>
        </w:numPr>
        <w:tabs>
          <w:tab w:val="left" w:pos="384"/>
        </w:tabs>
        <w:spacing w:before="85"/>
        <w:ind w:right="117"/>
        <w:rPr>
          <w:sz w:val="20"/>
          <w:szCs w:val="20"/>
        </w:rPr>
        <w:sectPr w:rsidR="00AE3E37" w:rsidRPr="00453290">
          <w:type w:val="continuous"/>
          <w:pgSz w:w="11910" w:h="16840"/>
          <w:pgMar w:top="1740" w:right="600" w:bottom="840" w:left="620" w:header="720" w:footer="720" w:gutter="0"/>
          <w:cols w:num="2" w:space="720" w:equalWidth="0">
            <w:col w:w="5214" w:space="138"/>
            <w:col w:w="5338"/>
          </w:cols>
        </w:sectPr>
      </w:pPr>
      <w:r w:rsidRPr="00453290">
        <w:rPr>
          <w:rStyle w:val="Strong"/>
          <w:b w:val="0"/>
          <w:bCs w:val="0"/>
          <w:sz w:val="20"/>
          <w:szCs w:val="20"/>
        </w:rPr>
        <w:t>Kelly M et al</w:t>
      </w:r>
      <w:r w:rsidRPr="00453290">
        <w:rPr>
          <w:sz w:val="20"/>
          <w:szCs w:val="20"/>
        </w:rPr>
        <w:t xml:space="preserve"> Should nurses be role models for healthy lifestyles? Results from a modified Delphi study. </w:t>
      </w:r>
      <w:r w:rsidRPr="00453290">
        <w:rPr>
          <w:rStyle w:val="Emphasis"/>
          <w:sz w:val="20"/>
          <w:szCs w:val="20"/>
        </w:rPr>
        <w:t>Journal of Advanced Nursing</w:t>
      </w:r>
      <w:r w:rsidRPr="00453290">
        <w:rPr>
          <w:sz w:val="20"/>
          <w:szCs w:val="20"/>
        </w:rPr>
        <w:t>; 73: 3</w:t>
      </w:r>
    </w:p>
    <w:p w14:paraId="7C8D0475" w14:textId="77777777" w:rsidR="00AE3E37" w:rsidRDefault="00AE3E37">
      <w:pPr>
        <w:pStyle w:val="BodyText"/>
        <w:rPr>
          <w:rFonts w:ascii="Calibri"/>
          <w:sz w:val="20"/>
        </w:rPr>
      </w:pPr>
    </w:p>
    <w:p w14:paraId="48F0FAF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662663D" wp14:editId="57F8E4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46CA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D96066" w14:textId="63DC0937" w:rsidR="00AE3E37" w:rsidRDefault="008756E6" w:rsidP="00404E5B">
      <w:pPr>
        <w:spacing w:before="92"/>
        <w:ind w:right="4234"/>
        <w:rPr>
          <w:rFonts w:ascii="Arial"/>
        </w:rPr>
      </w:pPr>
      <w:r>
        <w:rPr>
          <w:noProof/>
        </w:rPr>
        <w:t xml:space="preserve">              </w:t>
      </w:r>
    </w:p>
    <w:p w14:paraId="0ECB5116" w14:textId="254E6E76" w:rsidR="001704A6" w:rsidRDefault="00453290" w:rsidP="001704A6">
      <w:r>
        <w:rPr>
          <w:noProof/>
        </w:rPr>
        <w:drawing>
          <wp:anchor distT="0" distB="0" distL="114300" distR="114300" simplePos="0" relativeHeight="251658240" behindDoc="0" locked="0" layoutInCell="1" allowOverlap="1" wp14:anchorId="4CF0756A" wp14:editId="3707FC61">
            <wp:simplePos x="0" y="0"/>
            <wp:positionH relativeFrom="column">
              <wp:posOffset>0</wp:posOffset>
            </wp:positionH>
            <wp:positionV relativeFrom="paragraph">
              <wp:posOffset>1905</wp:posOffset>
            </wp:positionV>
            <wp:extent cx="1581150" cy="1581150"/>
            <wp:effectExtent l="0" t="0" r="0" b="0"/>
            <wp:wrapSquare wrapText="bothSides"/>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anchor>
        </w:drawing>
      </w:r>
      <w:r w:rsidR="00140126">
        <w:t xml:space="preserve">Jane Thurnell-Read is a former university lecturer in sociology. She subsequently became a </w:t>
      </w:r>
      <w:proofErr w:type="gramStart"/>
      <w:r w:rsidR="00140126">
        <w:t>widely-respected</w:t>
      </w:r>
      <w:proofErr w:type="gramEnd"/>
      <w:r w:rsidR="00140126">
        <w:t xml:space="preserve"> CAM practitioner and international teacher and author. Now in her seventies she runs an online membership website www.upliness.net, encouraging people to live enthusiastically and healthily for their whole lives. An important element of this is an extensive and growing collection of interviews with real life “ordinary people” who are living well and breaking down stereotypes. She will give a TEDx talk in Norwich UK in 2021 entitled “Older, fitter, stronger”.</w:t>
      </w:r>
    </w:p>
    <w:p w14:paraId="77E48181" w14:textId="77777777" w:rsidR="001704A6" w:rsidRDefault="001704A6" w:rsidP="001704A6"/>
    <w:p w14:paraId="0FDA8DFC" w14:textId="521B93F1" w:rsidR="00AE3E37" w:rsidRDefault="00140126" w:rsidP="001704A6">
      <w:pPr>
        <w:rPr>
          <w:rFonts w:ascii="Arial"/>
          <w:sz w:val="20"/>
        </w:rPr>
      </w:pPr>
      <w:r>
        <w:t>jane@janethurnellread.com</w:t>
      </w:r>
    </w:p>
    <w:p w14:paraId="4E85C5FA" w14:textId="77777777" w:rsidR="00AE3E37" w:rsidRDefault="00AE3E37">
      <w:pPr>
        <w:pStyle w:val="BodyText"/>
        <w:spacing w:before="7"/>
        <w:rPr>
          <w:rFonts w:ascii="Arial"/>
          <w:sz w:val="29"/>
        </w:rPr>
      </w:pPr>
    </w:p>
    <w:sectPr w:rsidR="00AE3E37" w:rsidSect="001704A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5A8B4A" w14:textId="77777777" w:rsidR="00336B48" w:rsidRDefault="00336B48">
      <w:r>
        <w:separator/>
      </w:r>
    </w:p>
  </w:endnote>
  <w:endnote w:type="continuationSeparator" w:id="0">
    <w:p w14:paraId="7F44FCF8" w14:textId="77777777" w:rsidR="00336B48" w:rsidRDefault="00336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640A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16A2005" wp14:editId="5F5B028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DDB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828B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A200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06DDB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828B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17C12E3" wp14:editId="4FED75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C6C6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4803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C12E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E2C6C6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4803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C9D2DB" wp14:editId="50AB12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C661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966A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9D2D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26C661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966A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0F990" w14:textId="77777777" w:rsidR="00336B48" w:rsidRDefault="00336B48">
      <w:r>
        <w:separator/>
      </w:r>
    </w:p>
  </w:footnote>
  <w:footnote w:type="continuationSeparator" w:id="0">
    <w:p w14:paraId="55A27CEC" w14:textId="77777777" w:rsidR="00336B48" w:rsidRDefault="00336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485D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163635C" wp14:editId="7CE7801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3496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3635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DF3496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82A9B25" wp14:editId="758EC6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3957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9F3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A9B2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743957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9F3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40126"/>
    <w:rsid w:val="001704A6"/>
    <w:rsid w:val="002455EC"/>
    <w:rsid w:val="00292ED9"/>
    <w:rsid w:val="00336B48"/>
    <w:rsid w:val="00404E5B"/>
    <w:rsid w:val="00414F7B"/>
    <w:rsid w:val="004355DC"/>
    <w:rsid w:val="00453290"/>
    <w:rsid w:val="004749B4"/>
    <w:rsid w:val="00494130"/>
    <w:rsid w:val="004F3523"/>
    <w:rsid w:val="005973B9"/>
    <w:rsid w:val="005B3A56"/>
    <w:rsid w:val="006060CE"/>
    <w:rsid w:val="0063497F"/>
    <w:rsid w:val="00873DF0"/>
    <w:rsid w:val="008756E6"/>
    <w:rsid w:val="008A08B6"/>
    <w:rsid w:val="009B2D44"/>
    <w:rsid w:val="00A07E82"/>
    <w:rsid w:val="00A30ED0"/>
    <w:rsid w:val="00A37D56"/>
    <w:rsid w:val="00A602BA"/>
    <w:rsid w:val="00A9710C"/>
    <w:rsid w:val="00AC2E48"/>
    <w:rsid w:val="00AE3E37"/>
    <w:rsid w:val="00B21A57"/>
    <w:rsid w:val="00C33602"/>
    <w:rsid w:val="00CD6F55"/>
    <w:rsid w:val="00D6150D"/>
    <w:rsid w:val="00DD39B3"/>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BC9BB7"/>
  <w15:docId w15:val="{5D0C0540-74F9-4E79-8FCB-908C061F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453290"/>
    <w:rPr>
      <w:b/>
      <w:bCs/>
    </w:rPr>
  </w:style>
  <w:style w:type="character" w:styleId="Emphasis">
    <w:name w:val="Emphasis"/>
    <w:basedOn w:val="DefaultParagraphFont"/>
    <w:uiPriority w:val="20"/>
    <w:qFormat/>
    <w:rsid w:val="00453290"/>
    <w:rPr>
      <w:i/>
      <w:iCs/>
    </w:rPr>
  </w:style>
  <w:style w:type="character" w:styleId="UnresolvedMention">
    <w:name w:val="Unresolved Mention"/>
    <w:basedOn w:val="DefaultParagraphFont"/>
    <w:uiPriority w:val="99"/>
    <w:semiHidden/>
    <w:unhideWhenUsed/>
    <w:rsid w:val="00453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pliness.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Jane Thurnell-Read</cp:lastModifiedBy>
  <cp:revision>3</cp:revision>
  <dcterms:created xsi:type="dcterms:W3CDTF">2021-01-19T21:05:00Z</dcterms:created>
  <dcterms:modified xsi:type="dcterms:W3CDTF">2021-01-19T21:06:00Z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